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F305E36" w14:textId="77777777" w:rsidR="009C3585" w:rsidRPr="009C3585" w:rsidRDefault="009C3585" w:rsidP="00C82D8A">
      <w:pPr>
        <w:rPr>
          <w:b/>
          <w:bCs/>
          <w:sz w:val="28"/>
          <w:szCs w:val="28"/>
          <w:lang w:val="en-CA"/>
        </w:rPr>
      </w:pPr>
      <w:r w:rsidRPr="009C3585">
        <w:rPr>
          <w:b/>
          <w:bCs/>
          <w:sz w:val="28"/>
          <w:szCs w:val="28"/>
          <w:lang w:val="en-CA"/>
        </w:rPr>
        <w:t>Faculty Session Three</w:t>
      </w:r>
    </w:p>
    <w:p w14:paraId="4B709F47" w14:textId="77777777" w:rsidR="009C3585" w:rsidRDefault="009C3585" w:rsidP="00C82D8A">
      <w:pPr>
        <w:rPr>
          <w:b/>
          <w:bCs/>
          <w:lang w:val="en-CA"/>
        </w:rPr>
      </w:pPr>
    </w:p>
    <w:p w14:paraId="742794B3" w14:textId="77777777" w:rsidR="009C3585" w:rsidRDefault="009C3585" w:rsidP="00C82D8A">
      <w:pPr>
        <w:rPr>
          <w:b/>
          <w:bCs/>
          <w:lang w:val="en-CA"/>
        </w:rPr>
      </w:pPr>
    </w:p>
    <w:p w14:paraId="38521C26" w14:textId="3A9B5563" w:rsidR="00C82D8A" w:rsidRPr="009C3585" w:rsidRDefault="00C82D8A" w:rsidP="00C82D8A">
      <w:pPr>
        <w:rPr>
          <w:b/>
          <w:bCs/>
          <w:sz w:val="22"/>
          <w:szCs w:val="22"/>
          <w:lang w:val="en-CA"/>
        </w:rPr>
      </w:pPr>
      <w:r w:rsidRPr="009C3585">
        <w:rPr>
          <w:b/>
          <w:bCs/>
          <w:sz w:val="22"/>
          <w:szCs w:val="22"/>
          <w:lang w:val="en-CA"/>
        </w:rPr>
        <w:t>Quick recap</w:t>
      </w:r>
    </w:p>
    <w:p w14:paraId="6AB81EF6" w14:textId="77777777" w:rsidR="009C3585" w:rsidRDefault="00C82D8A" w:rsidP="00C82D8A">
      <w:pPr>
        <w:rPr>
          <w:sz w:val="22"/>
          <w:szCs w:val="22"/>
          <w:lang w:val="en-CA"/>
        </w:rPr>
      </w:pPr>
      <w:r w:rsidRPr="009C3585">
        <w:rPr>
          <w:sz w:val="22"/>
          <w:szCs w:val="22"/>
          <w:lang w:val="en-CA"/>
        </w:rPr>
        <w:t xml:space="preserve">This meeting focused on teaching strategies for starting and ending courses, as well as implementing interactive learning activities throughout the educational journey. </w:t>
      </w:r>
    </w:p>
    <w:p w14:paraId="79C157E1" w14:textId="77777777" w:rsidR="009C3585" w:rsidRDefault="009C3585" w:rsidP="00C82D8A">
      <w:pPr>
        <w:rPr>
          <w:sz w:val="22"/>
          <w:szCs w:val="22"/>
          <w:lang w:val="en-CA"/>
        </w:rPr>
      </w:pPr>
    </w:p>
    <w:p w14:paraId="258D4511" w14:textId="77777777" w:rsidR="009C3585" w:rsidRDefault="00C82D8A" w:rsidP="00C82D8A">
      <w:pPr>
        <w:rPr>
          <w:sz w:val="22"/>
          <w:szCs w:val="22"/>
          <w:lang w:val="en-CA"/>
        </w:rPr>
      </w:pPr>
      <w:r w:rsidRPr="009C3585">
        <w:rPr>
          <w:sz w:val="22"/>
          <w:szCs w:val="22"/>
          <w:lang w:val="en-CA"/>
        </w:rPr>
        <w:t xml:space="preserve">The session began with </w:t>
      </w:r>
      <w:r w:rsidR="00F52320" w:rsidRPr="009C3585">
        <w:rPr>
          <w:sz w:val="22"/>
          <w:szCs w:val="22"/>
          <w:lang w:val="en-CA"/>
        </w:rPr>
        <w:t xml:space="preserve">Georg, </w:t>
      </w:r>
      <w:r w:rsidRPr="009C3585">
        <w:rPr>
          <w:sz w:val="22"/>
          <w:szCs w:val="22"/>
          <w:lang w:val="en-CA"/>
        </w:rPr>
        <w:t xml:space="preserve">Fiona </w:t>
      </w:r>
      <w:r w:rsidR="00F52320" w:rsidRPr="009C3585">
        <w:rPr>
          <w:sz w:val="22"/>
          <w:szCs w:val="22"/>
          <w:lang w:val="en-CA"/>
        </w:rPr>
        <w:t xml:space="preserve">and Dave </w:t>
      </w:r>
      <w:r w:rsidRPr="009C3585">
        <w:rPr>
          <w:sz w:val="22"/>
          <w:szCs w:val="22"/>
          <w:lang w:val="en-CA"/>
        </w:rPr>
        <w:t xml:space="preserve">sharing examples of effective course opening techniques, including icebreakers, goal-setting exercises, and cultural sensitivity considerations. </w:t>
      </w:r>
    </w:p>
    <w:p w14:paraId="7838ED91" w14:textId="77777777" w:rsidR="009C3585" w:rsidRDefault="009C3585" w:rsidP="00C82D8A">
      <w:pPr>
        <w:rPr>
          <w:sz w:val="22"/>
          <w:szCs w:val="22"/>
          <w:lang w:val="en-CA"/>
        </w:rPr>
      </w:pPr>
    </w:p>
    <w:p w14:paraId="5BA620D5" w14:textId="77777777" w:rsidR="009C3585" w:rsidRDefault="00C82D8A" w:rsidP="00C82D8A">
      <w:pPr>
        <w:rPr>
          <w:sz w:val="22"/>
          <w:szCs w:val="22"/>
          <w:lang w:val="en-CA"/>
        </w:rPr>
      </w:pPr>
      <w:r w:rsidRPr="009C3585">
        <w:rPr>
          <w:sz w:val="22"/>
          <w:szCs w:val="22"/>
          <w:lang w:val="en-CA"/>
        </w:rPr>
        <w:t xml:space="preserve">Dave presented methods for engaging participants during Part A and B courses, emphasizing the importance of keeping learners in their "happy place" by providing relevant, evidence-based content and interactive activities. </w:t>
      </w:r>
    </w:p>
    <w:p w14:paraId="1E465D3F" w14:textId="77777777" w:rsidR="009C3585" w:rsidRDefault="009C3585" w:rsidP="00C82D8A">
      <w:pPr>
        <w:rPr>
          <w:sz w:val="22"/>
          <w:szCs w:val="22"/>
          <w:lang w:val="en-CA"/>
        </w:rPr>
      </w:pPr>
    </w:p>
    <w:p w14:paraId="58122730" w14:textId="77777777" w:rsidR="009C3585" w:rsidRDefault="00C82D8A" w:rsidP="00C82D8A">
      <w:pPr>
        <w:rPr>
          <w:sz w:val="22"/>
          <w:szCs w:val="22"/>
          <w:lang w:val="en-CA"/>
        </w:rPr>
      </w:pPr>
      <w:r w:rsidRPr="009C3585">
        <w:rPr>
          <w:sz w:val="22"/>
          <w:szCs w:val="22"/>
          <w:lang w:val="en-CA"/>
        </w:rPr>
        <w:t>The group then discussed low-tech, high-impact learning activities including patient simulation exercises, classification puzzles, speed dating activities, and practical demonstrations that could be adapted for both in-person and online delivery.</w:t>
      </w:r>
    </w:p>
    <w:p w14:paraId="10F334A2" w14:textId="77777777" w:rsidR="009C3585" w:rsidRDefault="009C3585" w:rsidP="00C82D8A">
      <w:pPr>
        <w:rPr>
          <w:sz w:val="22"/>
          <w:szCs w:val="22"/>
          <w:lang w:val="en-CA"/>
        </w:rPr>
      </w:pPr>
    </w:p>
    <w:p w14:paraId="410EAE81" w14:textId="4B76359A" w:rsidR="00C82D8A" w:rsidRPr="009C3585" w:rsidRDefault="00C82D8A" w:rsidP="00C82D8A">
      <w:pPr>
        <w:rPr>
          <w:sz w:val="22"/>
          <w:szCs w:val="22"/>
          <w:lang w:val="en-CA"/>
        </w:rPr>
      </w:pPr>
      <w:r w:rsidRPr="009C3585">
        <w:rPr>
          <w:sz w:val="22"/>
          <w:szCs w:val="22"/>
          <w:lang w:val="en-CA"/>
        </w:rPr>
        <w:t xml:space="preserve"> Mar</w:t>
      </w:r>
      <w:r w:rsidR="00F52320" w:rsidRPr="009C3585">
        <w:rPr>
          <w:sz w:val="22"/>
          <w:szCs w:val="22"/>
          <w:lang w:val="en-CA"/>
        </w:rPr>
        <w:t>garet</w:t>
      </w:r>
      <w:r w:rsidRPr="009C3585">
        <w:rPr>
          <w:sz w:val="22"/>
          <w:szCs w:val="22"/>
          <w:lang w:val="en-CA"/>
        </w:rPr>
        <w:t xml:space="preserve"> </w:t>
      </w:r>
      <w:r w:rsidR="00F52320" w:rsidRPr="009C3585">
        <w:rPr>
          <w:sz w:val="22"/>
          <w:szCs w:val="22"/>
          <w:lang w:val="en-CA"/>
        </w:rPr>
        <w:t>and Yvonne</w:t>
      </w:r>
      <w:r w:rsidRPr="009C3585">
        <w:rPr>
          <w:sz w:val="22"/>
          <w:szCs w:val="22"/>
          <w:lang w:val="en-CA"/>
        </w:rPr>
        <w:t xml:space="preserve"> concluded the session by explaining the importance of diagnostic, formative, and summative assessments throughout the learning journey, using a practical example of certifying tour guides in Prague to demonstrate how these assessment types could be incorporated into course design.</w:t>
      </w:r>
    </w:p>
    <w:p w14:paraId="1CB9F12A" w14:textId="77777777" w:rsidR="009C3585" w:rsidRDefault="009C3585" w:rsidP="00F52320">
      <w:pPr>
        <w:rPr>
          <w:sz w:val="22"/>
          <w:szCs w:val="22"/>
          <w:lang w:val="en-CA"/>
        </w:rPr>
      </w:pPr>
    </w:p>
    <w:p w14:paraId="2190812A" w14:textId="24659D58" w:rsidR="00C82D8A" w:rsidRPr="009C3585" w:rsidRDefault="00F52320" w:rsidP="00F52320">
      <w:pPr>
        <w:rPr>
          <w:sz w:val="22"/>
          <w:szCs w:val="22"/>
          <w:lang w:val="en-CA"/>
        </w:rPr>
      </w:pPr>
      <w:r w:rsidRPr="009C3585">
        <w:rPr>
          <w:sz w:val="22"/>
          <w:szCs w:val="22"/>
          <w:lang w:val="en-CA"/>
        </w:rPr>
        <w:t>Georg s</w:t>
      </w:r>
      <w:r w:rsidR="00C82D8A" w:rsidRPr="009C3585">
        <w:rPr>
          <w:sz w:val="22"/>
          <w:szCs w:val="22"/>
          <w:lang w:val="en-CA"/>
        </w:rPr>
        <w:t>hare</w:t>
      </w:r>
      <w:r w:rsidR="009C3585">
        <w:rPr>
          <w:sz w:val="22"/>
          <w:szCs w:val="22"/>
          <w:lang w:val="en-CA"/>
        </w:rPr>
        <w:t>d</w:t>
      </w:r>
      <w:r w:rsidR="00C82D8A" w:rsidRPr="009C3585">
        <w:rPr>
          <w:sz w:val="22"/>
          <w:szCs w:val="22"/>
          <w:lang w:val="en-CA"/>
        </w:rPr>
        <w:t xml:space="preserve"> Menti-based "afterw</w:t>
      </w:r>
      <w:r w:rsidRPr="009C3585">
        <w:rPr>
          <w:sz w:val="22"/>
          <w:szCs w:val="22"/>
          <w:lang w:val="en-CA"/>
        </w:rPr>
        <w:t>o</w:t>
      </w:r>
      <w:r w:rsidR="00C82D8A" w:rsidRPr="009C3585">
        <w:rPr>
          <w:sz w:val="22"/>
          <w:szCs w:val="22"/>
          <w:lang w:val="en-CA"/>
        </w:rPr>
        <w:t>rds" game example and/or link on Moodle for others to reference and adapt for online courses.</w:t>
      </w:r>
    </w:p>
    <w:p w14:paraId="0BBFA01A" w14:textId="77777777" w:rsidR="00F52320" w:rsidRPr="009C3585" w:rsidRDefault="00F52320" w:rsidP="00F52320">
      <w:pPr>
        <w:rPr>
          <w:b/>
          <w:bCs/>
          <w:sz w:val="22"/>
          <w:szCs w:val="22"/>
          <w:lang w:val="en-CA"/>
        </w:rPr>
      </w:pPr>
    </w:p>
    <w:p w14:paraId="3FB7DC55" w14:textId="77777777" w:rsidR="00C82D8A" w:rsidRPr="009C3585" w:rsidRDefault="00C82D8A" w:rsidP="00C82D8A">
      <w:pPr>
        <w:rPr>
          <w:b/>
          <w:bCs/>
          <w:sz w:val="22"/>
          <w:szCs w:val="22"/>
          <w:lang w:val="en-CA"/>
        </w:rPr>
      </w:pPr>
      <w:r w:rsidRPr="009C3585">
        <w:rPr>
          <w:b/>
          <w:bCs/>
          <w:sz w:val="22"/>
          <w:szCs w:val="22"/>
          <w:lang w:val="en-CA"/>
        </w:rPr>
        <w:t>Collaboration</w:t>
      </w:r>
    </w:p>
    <w:p w14:paraId="0B8C8BF0" w14:textId="77777777" w:rsidR="00C82D8A" w:rsidRPr="009C3585" w:rsidRDefault="00C82D8A" w:rsidP="00C82D8A">
      <w:pPr>
        <w:numPr>
          <w:ilvl w:val="0"/>
          <w:numId w:val="4"/>
        </w:numPr>
        <w:rPr>
          <w:sz w:val="22"/>
          <w:szCs w:val="22"/>
          <w:lang w:val="en-CA"/>
        </w:rPr>
      </w:pPr>
      <w:r w:rsidRPr="009C3585">
        <w:rPr>
          <w:sz w:val="22"/>
          <w:szCs w:val="22"/>
          <w:lang w:val="en-CA"/>
        </w:rPr>
        <w:t>All instructors: Upload all course resources and activities (including example cards, Menti links, and practical task instructions) to the Moodle symposium page for access by participants.</w:t>
      </w:r>
    </w:p>
    <w:p w14:paraId="29E12E9C" w14:textId="77777777" w:rsidR="00C82D8A" w:rsidRPr="009C3585" w:rsidRDefault="00C82D8A" w:rsidP="00C82D8A">
      <w:pPr>
        <w:numPr>
          <w:ilvl w:val="0"/>
          <w:numId w:val="4"/>
        </w:numPr>
        <w:rPr>
          <w:sz w:val="22"/>
          <w:szCs w:val="22"/>
          <w:lang w:val="en-CA"/>
        </w:rPr>
      </w:pPr>
      <w:r w:rsidRPr="009C3585">
        <w:rPr>
          <w:sz w:val="22"/>
          <w:szCs w:val="22"/>
          <w:lang w:val="en-CA"/>
        </w:rPr>
        <w:t>All instructors: Share examples of interactive, low-tech learning activities (such as movement experiments, mimes, classification puzzles, speed dating, and follow-up workshops) and adapt them for both in-person and online (breakout rooms, Menti, think-pair-share) delivery as appropriate for course type (A, B, C, D).</w:t>
      </w:r>
    </w:p>
    <w:p w14:paraId="3EC5E7E5" w14:textId="77777777" w:rsidR="00C82D8A" w:rsidRPr="009C3585" w:rsidRDefault="00C82D8A" w:rsidP="00C82D8A">
      <w:pPr>
        <w:numPr>
          <w:ilvl w:val="0"/>
          <w:numId w:val="4"/>
        </w:numPr>
        <w:rPr>
          <w:sz w:val="22"/>
          <w:szCs w:val="22"/>
          <w:lang w:val="en-CA"/>
        </w:rPr>
      </w:pPr>
      <w:r w:rsidRPr="009C3585">
        <w:rPr>
          <w:sz w:val="22"/>
          <w:szCs w:val="22"/>
          <w:lang w:val="en-CA"/>
        </w:rPr>
        <w:t>All instructors: Provide participants with clear action plans and resources (including contact information, clinic access, and online community links) at the end of each course to support ongoing learning and application.</w:t>
      </w:r>
    </w:p>
    <w:p w14:paraId="495E1222" w14:textId="77777777" w:rsidR="00C82D8A" w:rsidRPr="009C3585" w:rsidRDefault="00C82D8A" w:rsidP="00C82D8A">
      <w:pPr>
        <w:numPr>
          <w:ilvl w:val="0"/>
          <w:numId w:val="4"/>
        </w:numPr>
        <w:rPr>
          <w:sz w:val="22"/>
          <w:szCs w:val="22"/>
          <w:lang w:val="en-CA"/>
        </w:rPr>
      </w:pPr>
      <w:r w:rsidRPr="009C3585">
        <w:rPr>
          <w:sz w:val="22"/>
          <w:szCs w:val="22"/>
          <w:lang w:val="en-CA"/>
        </w:rPr>
        <w:t>All instructors: Regularly use diagnostic, formative, and summative assessment strategies deliberately throughout courses to calibrate content, check understanding, and confirm learning outcomes.</w:t>
      </w:r>
    </w:p>
    <w:p w14:paraId="38EA894E" w14:textId="77777777" w:rsidR="00C82D8A" w:rsidRPr="009C3585" w:rsidRDefault="00C82D8A" w:rsidP="00C82D8A">
      <w:pPr>
        <w:numPr>
          <w:ilvl w:val="0"/>
          <w:numId w:val="4"/>
        </w:numPr>
        <w:rPr>
          <w:sz w:val="22"/>
          <w:szCs w:val="22"/>
          <w:lang w:val="en-CA"/>
        </w:rPr>
      </w:pPr>
      <w:r w:rsidRPr="009C3585">
        <w:rPr>
          <w:sz w:val="22"/>
          <w:szCs w:val="22"/>
          <w:lang w:val="en-CA"/>
        </w:rPr>
        <w:t>All instructors: Ensure all practical task materials (cards, wall charts, etc.) are prepared in sufficient quantities and shared/reused as needed for future courses.</w:t>
      </w:r>
    </w:p>
    <w:p w14:paraId="18A23ED8" w14:textId="77777777" w:rsidR="00C82D8A" w:rsidRPr="009C3585" w:rsidRDefault="00C82D8A" w:rsidP="00C82D8A">
      <w:pPr>
        <w:numPr>
          <w:ilvl w:val="0"/>
          <w:numId w:val="4"/>
        </w:numPr>
        <w:rPr>
          <w:sz w:val="22"/>
          <w:szCs w:val="22"/>
          <w:lang w:val="en-CA"/>
        </w:rPr>
      </w:pPr>
      <w:r w:rsidRPr="009C3585">
        <w:rPr>
          <w:sz w:val="22"/>
          <w:szCs w:val="22"/>
          <w:lang w:val="en-CA"/>
        </w:rPr>
        <w:t>All instructors: Post evidence and references related to assessment strategies on the Moodle page as referenced in the closing remarks.</w:t>
      </w:r>
    </w:p>
    <w:p w14:paraId="721701F8" w14:textId="77777777" w:rsidR="00F52320" w:rsidRPr="009C3585" w:rsidRDefault="00F52320" w:rsidP="00C82D8A">
      <w:pPr>
        <w:numPr>
          <w:ilvl w:val="0"/>
          <w:numId w:val="4"/>
        </w:numPr>
        <w:rPr>
          <w:sz w:val="22"/>
          <w:szCs w:val="22"/>
          <w:lang w:val="en-CA"/>
        </w:rPr>
      </w:pPr>
    </w:p>
    <w:p w14:paraId="23519F37" w14:textId="77777777" w:rsidR="00C82D8A" w:rsidRPr="009C3585" w:rsidRDefault="00C82D8A" w:rsidP="00C82D8A">
      <w:pPr>
        <w:rPr>
          <w:b/>
          <w:bCs/>
          <w:sz w:val="22"/>
          <w:szCs w:val="22"/>
          <w:lang w:val="en-CA"/>
        </w:rPr>
      </w:pPr>
      <w:r w:rsidRPr="009C3585">
        <w:rPr>
          <w:b/>
          <w:bCs/>
          <w:sz w:val="22"/>
          <w:szCs w:val="22"/>
          <w:lang w:val="en-CA"/>
        </w:rPr>
        <w:t>Summary</w:t>
      </w:r>
    </w:p>
    <w:p w14:paraId="09A043CB" w14:textId="77777777" w:rsidR="009C3585" w:rsidRDefault="009C3585" w:rsidP="00C82D8A">
      <w:pPr>
        <w:rPr>
          <w:b/>
          <w:bCs/>
          <w:sz w:val="22"/>
          <w:szCs w:val="22"/>
          <w:lang w:val="en-CA"/>
        </w:rPr>
      </w:pPr>
    </w:p>
    <w:p w14:paraId="0D55C40B" w14:textId="6107AE30" w:rsidR="00C82D8A" w:rsidRPr="009C3585" w:rsidRDefault="009C3585" w:rsidP="00C82D8A">
      <w:pPr>
        <w:rPr>
          <w:b/>
          <w:bCs/>
          <w:sz w:val="22"/>
          <w:szCs w:val="22"/>
          <w:lang w:val="en-CA"/>
        </w:rPr>
      </w:pPr>
      <w:r>
        <w:rPr>
          <w:b/>
          <w:bCs/>
          <w:sz w:val="22"/>
          <w:szCs w:val="22"/>
          <w:lang w:val="en-CA"/>
        </w:rPr>
        <w:t xml:space="preserve">Review of Extremity Session Day One </w:t>
      </w:r>
      <w:r w:rsidR="00C82D8A" w:rsidRPr="009C3585">
        <w:rPr>
          <w:b/>
          <w:bCs/>
          <w:sz w:val="22"/>
          <w:szCs w:val="22"/>
          <w:lang w:val="en-CA"/>
        </w:rPr>
        <w:t>Patient Assessment and Management Discussion</w:t>
      </w:r>
    </w:p>
    <w:p w14:paraId="702636D6" w14:textId="77777777" w:rsidR="009C3585" w:rsidRDefault="00F52320" w:rsidP="009C3585">
      <w:pPr>
        <w:pStyle w:val="ListParagraph"/>
        <w:numPr>
          <w:ilvl w:val="0"/>
          <w:numId w:val="5"/>
        </w:numPr>
        <w:rPr>
          <w:sz w:val="22"/>
          <w:szCs w:val="22"/>
          <w:lang w:val="en-CA"/>
        </w:rPr>
      </w:pPr>
      <w:r w:rsidRPr="009C3585">
        <w:rPr>
          <w:sz w:val="22"/>
          <w:szCs w:val="22"/>
          <w:lang w:val="en-CA"/>
        </w:rPr>
        <w:t>Richard</w:t>
      </w:r>
      <w:r w:rsidR="00C82D8A" w:rsidRPr="009C3585">
        <w:rPr>
          <w:sz w:val="22"/>
          <w:szCs w:val="22"/>
          <w:lang w:val="en-CA"/>
        </w:rPr>
        <w:t xml:space="preserve"> acknowledg</w:t>
      </w:r>
      <w:r w:rsidR="009C3585">
        <w:rPr>
          <w:sz w:val="22"/>
          <w:szCs w:val="22"/>
          <w:lang w:val="en-CA"/>
        </w:rPr>
        <w:t>ed</w:t>
      </w:r>
      <w:r w:rsidR="00C82D8A" w:rsidRPr="009C3585">
        <w:rPr>
          <w:sz w:val="22"/>
          <w:szCs w:val="22"/>
          <w:lang w:val="en-CA"/>
        </w:rPr>
        <w:t xml:space="preserve"> the presenters from the previous day's session. </w:t>
      </w:r>
    </w:p>
    <w:p w14:paraId="2E4EA347" w14:textId="0512A948" w:rsidR="00C82D8A" w:rsidRPr="009C3585" w:rsidRDefault="00C82D8A" w:rsidP="009C3585">
      <w:pPr>
        <w:pStyle w:val="ListParagraph"/>
        <w:numPr>
          <w:ilvl w:val="0"/>
          <w:numId w:val="5"/>
        </w:numPr>
        <w:rPr>
          <w:sz w:val="22"/>
          <w:szCs w:val="22"/>
          <w:lang w:val="en-CA"/>
        </w:rPr>
      </w:pPr>
      <w:r w:rsidRPr="009C3585">
        <w:rPr>
          <w:sz w:val="22"/>
          <w:szCs w:val="22"/>
          <w:lang w:val="en-CA"/>
        </w:rPr>
        <w:lastRenderedPageBreak/>
        <w:t xml:space="preserve">He summarized the previous day's content, which included discussions on tricky patient assessment situations, diffusing challenging situations, and chronic pain management approaches. </w:t>
      </w:r>
    </w:p>
    <w:p w14:paraId="67F6F980" w14:textId="77777777" w:rsidR="009C3585" w:rsidRDefault="00F52320" w:rsidP="009C3585">
      <w:pPr>
        <w:pStyle w:val="ListParagraph"/>
        <w:numPr>
          <w:ilvl w:val="0"/>
          <w:numId w:val="5"/>
        </w:numPr>
        <w:rPr>
          <w:sz w:val="22"/>
          <w:szCs w:val="22"/>
          <w:lang w:val="en-CA"/>
        </w:rPr>
      </w:pPr>
      <w:r w:rsidRPr="009C3585">
        <w:rPr>
          <w:sz w:val="22"/>
          <w:szCs w:val="22"/>
          <w:lang w:val="en-CA"/>
        </w:rPr>
        <w:t>Richard</w:t>
      </w:r>
      <w:r w:rsidR="00C82D8A" w:rsidRPr="009C3585">
        <w:rPr>
          <w:sz w:val="22"/>
          <w:szCs w:val="22"/>
          <w:lang w:val="en-CA"/>
        </w:rPr>
        <w:t xml:space="preserve"> discussed different approaches to resisted movement. He noted that while some practitioners use resisted movements extensively, he personally prefers keeping techniques simple and relies on established data from their extremity manual and research studies showing effectiveness for patients with knee osteoarthritis. </w:t>
      </w:r>
    </w:p>
    <w:p w14:paraId="7445540F" w14:textId="451F972A" w:rsidR="00C82D8A" w:rsidRPr="009C3585" w:rsidRDefault="00C82D8A" w:rsidP="009C3585">
      <w:pPr>
        <w:pStyle w:val="ListParagraph"/>
        <w:numPr>
          <w:ilvl w:val="0"/>
          <w:numId w:val="5"/>
        </w:numPr>
        <w:rPr>
          <w:sz w:val="22"/>
          <w:szCs w:val="22"/>
          <w:lang w:val="en-CA"/>
        </w:rPr>
      </w:pPr>
      <w:r w:rsidRPr="009C3585">
        <w:rPr>
          <w:sz w:val="22"/>
          <w:szCs w:val="22"/>
          <w:lang w:val="en-CA"/>
        </w:rPr>
        <w:t>The session concluded with Richard introducing a new session about course start and end strategies, mentioning that all materials would be uploaded to Moodle and that participants' extensive experience would be leveraged throughout the discussion.</w:t>
      </w:r>
    </w:p>
    <w:p w14:paraId="55610C6D" w14:textId="77777777" w:rsidR="00F52320" w:rsidRPr="009C3585" w:rsidRDefault="00F52320" w:rsidP="00C82D8A">
      <w:pPr>
        <w:rPr>
          <w:sz w:val="22"/>
          <w:szCs w:val="22"/>
          <w:lang w:val="en-CA"/>
        </w:rPr>
      </w:pPr>
    </w:p>
    <w:p w14:paraId="22B6B1F8" w14:textId="77777777" w:rsidR="00C82D8A" w:rsidRPr="009C3585" w:rsidRDefault="00C82D8A" w:rsidP="00C82D8A">
      <w:pPr>
        <w:rPr>
          <w:b/>
          <w:bCs/>
          <w:sz w:val="22"/>
          <w:szCs w:val="22"/>
          <w:lang w:val="en-CA"/>
        </w:rPr>
      </w:pPr>
      <w:r w:rsidRPr="009C3585">
        <w:rPr>
          <w:b/>
          <w:bCs/>
          <w:sz w:val="22"/>
          <w:szCs w:val="22"/>
          <w:lang w:val="en-CA"/>
        </w:rPr>
        <w:t>Online Course Engagement Strategies</w:t>
      </w:r>
    </w:p>
    <w:p w14:paraId="3AD0AFFB" w14:textId="77777777" w:rsidR="009C3585" w:rsidRDefault="00F52320" w:rsidP="009C3585">
      <w:pPr>
        <w:pStyle w:val="ListParagraph"/>
        <w:numPr>
          <w:ilvl w:val="0"/>
          <w:numId w:val="6"/>
        </w:numPr>
        <w:rPr>
          <w:sz w:val="22"/>
          <w:szCs w:val="22"/>
          <w:lang w:val="en-CA"/>
        </w:rPr>
      </w:pPr>
      <w:r w:rsidRPr="009C3585">
        <w:rPr>
          <w:sz w:val="22"/>
          <w:szCs w:val="22"/>
          <w:lang w:val="en-CA"/>
        </w:rPr>
        <w:t>Georg</w:t>
      </w:r>
      <w:r w:rsidR="00C82D8A" w:rsidRPr="009C3585">
        <w:rPr>
          <w:sz w:val="22"/>
          <w:szCs w:val="22"/>
          <w:lang w:val="en-CA"/>
        </w:rPr>
        <w:t xml:space="preserve"> </w:t>
      </w:r>
      <w:r w:rsidRPr="009C3585">
        <w:rPr>
          <w:sz w:val="22"/>
          <w:szCs w:val="22"/>
          <w:lang w:val="en-CA"/>
        </w:rPr>
        <w:t xml:space="preserve">/Fiona/Dave </w:t>
      </w:r>
      <w:r w:rsidR="00C82D8A" w:rsidRPr="009C3585">
        <w:rPr>
          <w:sz w:val="22"/>
          <w:szCs w:val="22"/>
          <w:lang w:val="en-CA"/>
        </w:rPr>
        <w:t xml:space="preserve">discussed strategies for engaging participants in large online courses, including using interactive tools like Menti and setting clear goals with participants. </w:t>
      </w:r>
    </w:p>
    <w:p w14:paraId="66EF60AE" w14:textId="77777777" w:rsidR="009C3585" w:rsidRPr="009C3585" w:rsidRDefault="009C3585" w:rsidP="009C3585">
      <w:pPr>
        <w:rPr>
          <w:sz w:val="22"/>
          <w:szCs w:val="22"/>
          <w:lang w:val="en-CA"/>
        </w:rPr>
      </w:pPr>
    </w:p>
    <w:p w14:paraId="49D17D16" w14:textId="77777777" w:rsidR="009C3585" w:rsidRDefault="00F52320" w:rsidP="009C3585">
      <w:pPr>
        <w:pStyle w:val="ListParagraph"/>
        <w:numPr>
          <w:ilvl w:val="0"/>
          <w:numId w:val="6"/>
        </w:numPr>
        <w:rPr>
          <w:sz w:val="22"/>
          <w:szCs w:val="22"/>
          <w:lang w:val="en-CA"/>
        </w:rPr>
      </w:pPr>
      <w:r w:rsidRPr="009C3585">
        <w:rPr>
          <w:sz w:val="22"/>
          <w:szCs w:val="22"/>
          <w:lang w:val="en-CA"/>
        </w:rPr>
        <w:t>They</w:t>
      </w:r>
      <w:r w:rsidR="00C82D8A" w:rsidRPr="009C3585">
        <w:rPr>
          <w:sz w:val="22"/>
          <w:szCs w:val="22"/>
          <w:lang w:val="en-CA"/>
        </w:rPr>
        <w:t xml:space="preserve"> emphasized the importance of keeping participants in the "happy place" by providing relevant, evidence-based content and maintaining structure while allowing for active participation and questions throughout the course. </w:t>
      </w:r>
    </w:p>
    <w:p w14:paraId="4366C9E1" w14:textId="77777777" w:rsidR="009C3585" w:rsidRPr="009C3585" w:rsidRDefault="009C3585" w:rsidP="009C3585">
      <w:pPr>
        <w:rPr>
          <w:sz w:val="22"/>
          <w:szCs w:val="22"/>
          <w:lang w:val="en-CA"/>
        </w:rPr>
      </w:pPr>
    </w:p>
    <w:p w14:paraId="55D64DEF" w14:textId="72FC0826" w:rsidR="00C82D8A" w:rsidRPr="009C3585" w:rsidRDefault="00F52320" w:rsidP="009C3585">
      <w:pPr>
        <w:pStyle w:val="ListParagraph"/>
        <w:numPr>
          <w:ilvl w:val="0"/>
          <w:numId w:val="6"/>
        </w:numPr>
        <w:rPr>
          <w:sz w:val="22"/>
          <w:szCs w:val="22"/>
          <w:lang w:val="en-CA"/>
        </w:rPr>
      </w:pPr>
      <w:r w:rsidRPr="009C3585">
        <w:rPr>
          <w:sz w:val="22"/>
          <w:szCs w:val="22"/>
          <w:lang w:val="en-CA"/>
        </w:rPr>
        <w:t>They</w:t>
      </w:r>
      <w:r w:rsidR="00C82D8A" w:rsidRPr="009C3585">
        <w:rPr>
          <w:sz w:val="22"/>
          <w:szCs w:val="22"/>
          <w:lang w:val="en-CA"/>
        </w:rPr>
        <w:t xml:space="preserve"> also shared </w:t>
      </w:r>
      <w:r w:rsidRPr="009C3585">
        <w:rPr>
          <w:sz w:val="22"/>
          <w:szCs w:val="22"/>
          <w:lang w:val="en-CA"/>
        </w:rPr>
        <w:t>their</w:t>
      </w:r>
      <w:r w:rsidR="00C82D8A" w:rsidRPr="009C3585">
        <w:rPr>
          <w:sz w:val="22"/>
          <w:szCs w:val="22"/>
          <w:lang w:val="en-CA"/>
        </w:rPr>
        <w:t xml:space="preserve"> approach to understanding participants' backgrounds and motivations, which helps tailor the content to their needs and learning pathways.</w:t>
      </w:r>
    </w:p>
    <w:p w14:paraId="04BE82A9" w14:textId="77777777" w:rsidR="00F52320" w:rsidRPr="009C3585" w:rsidRDefault="00F52320" w:rsidP="00C82D8A">
      <w:pPr>
        <w:rPr>
          <w:sz w:val="22"/>
          <w:szCs w:val="22"/>
          <w:lang w:val="en-CA"/>
        </w:rPr>
      </w:pPr>
    </w:p>
    <w:p w14:paraId="06B9D504" w14:textId="77777777" w:rsidR="009C3585" w:rsidRDefault="009C3585" w:rsidP="009C3585">
      <w:pPr>
        <w:pStyle w:val="ListParagraph"/>
        <w:numPr>
          <w:ilvl w:val="0"/>
          <w:numId w:val="6"/>
        </w:numPr>
        <w:rPr>
          <w:sz w:val="22"/>
          <w:szCs w:val="22"/>
          <w:lang w:val="en-CA"/>
        </w:rPr>
      </w:pPr>
      <w:r>
        <w:rPr>
          <w:sz w:val="22"/>
          <w:szCs w:val="22"/>
          <w:lang w:val="en-CA"/>
        </w:rPr>
        <w:t xml:space="preserve">They </w:t>
      </w:r>
      <w:r w:rsidR="00C82D8A" w:rsidRPr="009C3585">
        <w:rPr>
          <w:sz w:val="22"/>
          <w:szCs w:val="22"/>
          <w:lang w:val="en-CA"/>
        </w:rPr>
        <w:t xml:space="preserve">shared strategies for teaching different levels of physiotherapy courses, </w:t>
      </w:r>
      <w:r>
        <w:rPr>
          <w:sz w:val="22"/>
          <w:szCs w:val="22"/>
          <w:lang w:val="en-CA"/>
        </w:rPr>
        <w:t xml:space="preserve">one suggestion was </w:t>
      </w:r>
      <w:r w:rsidR="00C82D8A" w:rsidRPr="009C3585">
        <w:rPr>
          <w:sz w:val="22"/>
          <w:szCs w:val="22"/>
          <w:lang w:val="en-CA"/>
        </w:rPr>
        <w:t xml:space="preserve">using a "Physiotherapy Dad Jokes" book as an engagement tool </w:t>
      </w:r>
      <w:r>
        <w:rPr>
          <w:sz w:val="22"/>
          <w:szCs w:val="22"/>
          <w:lang w:val="en-CA"/>
        </w:rPr>
        <w:t xml:space="preserve"> </w:t>
      </w:r>
      <w:r w:rsidR="00C82D8A" w:rsidRPr="009C3585">
        <w:rPr>
          <w:sz w:val="22"/>
          <w:szCs w:val="22"/>
          <w:lang w:val="en-CA"/>
        </w:rPr>
        <w:t xml:space="preserve"> </w:t>
      </w:r>
      <w:r>
        <w:rPr>
          <w:sz w:val="22"/>
          <w:szCs w:val="22"/>
          <w:lang w:val="en-CA"/>
        </w:rPr>
        <w:t>2</w:t>
      </w:r>
      <w:r w:rsidRPr="009C3585">
        <w:rPr>
          <w:sz w:val="22"/>
          <w:szCs w:val="22"/>
          <w:vertAlign w:val="superscript"/>
          <w:lang w:val="en-CA"/>
        </w:rPr>
        <w:t>nd</w:t>
      </w:r>
      <w:r>
        <w:rPr>
          <w:sz w:val="22"/>
          <w:szCs w:val="22"/>
          <w:lang w:val="en-CA"/>
        </w:rPr>
        <w:t xml:space="preserve"> </w:t>
      </w:r>
      <w:r w:rsidR="00C82D8A" w:rsidRPr="009C3585">
        <w:rPr>
          <w:sz w:val="22"/>
          <w:szCs w:val="22"/>
          <w:lang w:val="en-CA"/>
        </w:rPr>
        <w:t xml:space="preserve">having students create name tags with personal goals to track their progress. </w:t>
      </w:r>
    </w:p>
    <w:p w14:paraId="222DAE28" w14:textId="77777777" w:rsidR="009C3585" w:rsidRPr="009C3585" w:rsidRDefault="009C3585" w:rsidP="009C3585">
      <w:pPr>
        <w:pStyle w:val="ListParagraph"/>
        <w:rPr>
          <w:sz w:val="22"/>
          <w:szCs w:val="22"/>
          <w:lang w:val="en-CA"/>
        </w:rPr>
      </w:pPr>
    </w:p>
    <w:p w14:paraId="0AEC4CE1" w14:textId="77777777" w:rsidR="009C3585" w:rsidRDefault="00F52320" w:rsidP="009C3585">
      <w:pPr>
        <w:pStyle w:val="ListParagraph"/>
        <w:numPr>
          <w:ilvl w:val="0"/>
          <w:numId w:val="6"/>
        </w:numPr>
        <w:rPr>
          <w:sz w:val="22"/>
          <w:szCs w:val="22"/>
          <w:lang w:val="en-CA"/>
        </w:rPr>
      </w:pPr>
      <w:r w:rsidRPr="009C3585">
        <w:rPr>
          <w:sz w:val="22"/>
          <w:szCs w:val="22"/>
          <w:lang w:val="en-CA"/>
        </w:rPr>
        <w:t>They</w:t>
      </w:r>
      <w:r w:rsidR="00C82D8A" w:rsidRPr="009C3585">
        <w:rPr>
          <w:sz w:val="22"/>
          <w:szCs w:val="22"/>
          <w:lang w:val="en-CA"/>
        </w:rPr>
        <w:t xml:space="preserve"> discussed cultural sensitivity challenges, including issues with Afghan students demonstrating techniques due to cultural restrictions, and advised avoiding politics and religion in teaching. </w:t>
      </w:r>
    </w:p>
    <w:p w14:paraId="264DFFF3" w14:textId="77777777" w:rsidR="009C3585" w:rsidRPr="009C3585" w:rsidRDefault="009C3585" w:rsidP="009C3585">
      <w:pPr>
        <w:pStyle w:val="ListParagraph"/>
        <w:rPr>
          <w:sz w:val="22"/>
          <w:szCs w:val="22"/>
          <w:lang w:val="en-CA"/>
        </w:rPr>
      </w:pPr>
    </w:p>
    <w:p w14:paraId="472AFFE6" w14:textId="39056378" w:rsidR="00C82D8A" w:rsidRPr="009C3585" w:rsidRDefault="009C3585" w:rsidP="009C3585">
      <w:pPr>
        <w:pStyle w:val="ListParagraph"/>
        <w:numPr>
          <w:ilvl w:val="0"/>
          <w:numId w:val="6"/>
        </w:numPr>
        <w:rPr>
          <w:sz w:val="22"/>
          <w:szCs w:val="22"/>
          <w:lang w:val="en-CA"/>
        </w:rPr>
      </w:pPr>
      <w:r>
        <w:rPr>
          <w:sz w:val="22"/>
          <w:szCs w:val="22"/>
          <w:lang w:val="en-CA"/>
        </w:rPr>
        <w:t>They</w:t>
      </w:r>
      <w:r w:rsidR="00C82D8A" w:rsidRPr="009C3585">
        <w:rPr>
          <w:sz w:val="22"/>
          <w:szCs w:val="22"/>
          <w:lang w:val="en-CA"/>
        </w:rPr>
        <w:t xml:space="preserve"> outlined approaches for C&amp;D level courses, focusing on addressing specific patient problems rather than general techniques, and shared closing strategies including showing </w:t>
      </w:r>
      <w:r>
        <w:rPr>
          <w:sz w:val="22"/>
          <w:szCs w:val="22"/>
          <w:lang w:val="en-CA"/>
        </w:rPr>
        <w:t>Robin’s</w:t>
      </w:r>
      <w:r w:rsidR="00C82D8A" w:rsidRPr="009C3585">
        <w:rPr>
          <w:sz w:val="22"/>
          <w:szCs w:val="22"/>
          <w:lang w:val="en-CA"/>
        </w:rPr>
        <w:t xml:space="preserve"> video and providing students with resources for continued learning and connection with other clinicians.</w:t>
      </w:r>
    </w:p>
    <w:p w14:paraId="4AD41F32" w14:textId="77777777" w:rsidR="00F52320" w:rsidRPr="009C3585" w:rsidRDefault="00F52320" w:rsidP="00C82D8A">
      <w:pPr>
        <w:rPr>
          <w:sz w:val="22"/>
          <w:szCs w:val="22"/>
          <w:lang w:val="en-CA"/>
        </w:rPr>
      </w:pPr>
    </w:p>
    <w:p w14:paraId="447730F0" w14:textId="77777777" w:rsidR="009C3585" w:rsidRDefault="009C3585" w:rsidP="009C3585">
      <w:pPr>
        <w:pStyle w:val="ListParagraph"/>
        <w:numPr>
          <w:ilvl w:val="0"/>
          <w:numId w:val="6"/>
        </w:numPr>
        <w:rPr>
          <w:sz w:val="22"/>
          <w:szCs w:val="22"/>
          <w:lang w:val="en-CA"/>
        </w:rPr>
      </w:pPr>
      <w:r w:rsidRPr="009C3585">
        <w:rPr>
          <w:sz w:val="22"/>
          <w:szCs w:val="22"/>
          <w:lang w:val="en-CA"/>
        </w:rPr>
        <w:t xml:space="preserve">They </w:t>
      </w:r>
      <w:r w:rsidR="00C82D8A" w:rsidRPr="009C3585">
        <w:rPr>
          <w:sz w:val="22"/>
          <w:szCs w:val="22"/>
          <w:lang w:val="en-CA"/>
        </w:rPr>
        <w:t xml:space="preserve">discussed the importance of providing participants with an action plan after course completion, emphasizing the need to keep them engaged and prevent knowledge loss. </w:t>
      </w:r>
      <w:r w:rsidR="00F52320" w:rsidRPr="009C3585">
        <w:rPr>
          <w:sz w:val="22"/>
          <w:szCs w:val="22"/>
          <w:lang w:val="en-CA"/>
        </w:rPr>
        <w:t>They</w:t>
      </w:r>
      <w:r w:rsidR="00C82D8A" w:rsidRPr="009C3585">
        <w:rPr>
          <w:sz w:val="22"/>
          <w:szCs w:val="22"/>
          <w:lang w:val="en-CA"/>
        </w:rPr>
        <w:t xml:space="preserve"> then introduced a session focused on interactive, low-tech learning activities to enhance participant engagement during courses. </w:t>
      </w:r>
    </w:p>
    <w:p w14:paraId="2B9D2E12" w14:textId="77777777" w:rsidR="009C3585" w:rsidRPr="009C3585" w:rsidRDefault="009C3585" w:rsidP="009C3585">
      <w:pPr>
        <w:pStyle w:val="ListParagraph"/>
        <w:rPr>
          <w:sz w:val="22"/>
          <w:szCs w:val="22"/>
          <w:lang w:val="en-CA"/>
        </w:rPr>
      </w:pPr>
    </w:p>
    <w:p w14:paraId="631AE40F" w14:textId="50576980" w:rsidR="00C82D8A" w:rsidRPr="009C3585" w:rsidRDefault="00C82D8A" w:rsidP="009C3585">
      <w:pPr>
        <w:pStyle w:val="ListParagraph"/>
        <w:numPr>
          <w:ilvl w:val="0"/>
          <w:numId w:val="6"/>
        </w:numPr>
        <w:rPr>
          <w:sz w:val="22"/>
          <w:szCs w:val="22"/>
          <w:lang w:val="en-CA"/>
        </w:rPr>
      </w:pPr>
      <w:r w:rsidRPr="009C3585">
        <w:rPr>
          <w:sz w:val="22"/>
          <w:szCs w:val="22"/>
          <w:lang w:val="en-CA"/>
        </w:rPr>
        <w:t>The session included demonstrations of practical exercises, such as patient assessment activities and a game involving force progressions, designed to help instructors implement these activities in their courses.</w:t>
      </w:r>
    </w:p>
    <w:p w14:paraId="1BDECD60" w14:textId="77777777" w:rsidR="00F52320" w:rsidRPr="009C3585" w:rsidRDefault="00F52320" w:rsidP="00C82D8A">
      <w:pPr>
        <w:rPr>
          <w:sz w:val="22"/>
          <w:szCs w:val="22"/>
          <w:lang w:val="en-CA"/>
        </w:rPr>
      </w:pPr>
    </w:p>
    <w:p w14:paraId="19ABF203" w14:textId="77777777" w:rsidR="00C82D8A" w:rsidRPr="009C3585" w:rsidRDefault="00C82D8A" w:rsidP="00C82D8A">
      <w:pPr>
        <w:rPr>
          <w:b/>
          <w:bCs/>
          <w:sz w:val="22"/>
          <w:szCs w:val="22"/>
          <w:lang w:val="en-CA"/>
        </w:rPr>
      </w:pPr>
      <w:r w:rsidRPr="009C3585">
        <w:rPr>
          <w:b/>
          <w:bCs/>
          <w:sz w:val="22"/>
          <w:szCs w:val="22"/>
          <w:lang w:val="en-CA"/>
        </w:rPr>
        <w:t>Medical Diagnosis Teaching Approach</w:t>
      </w:r>
    </w:p>
    <w:p w14:paraId="7471FD24" w14:textId="77777777" w:rsidR="009C3585" w:rsidRDefault="00F52320" w:rsidP="009C3585">
      <w:pPr>
        <w:pStyle w:val="ListParagraph"/>
        <w:numPr>
          <w:ilvl w:val="0"/>
          <w:numId w:val="8"/>
        </w:numPr>
        <w:rPr>
          <w:sz w:val="22"/>
          <w:szCs w:val="22"/>
          <w:lang w:val="en-CA"/>
        </w:rPr>
      </w:pPr>
      <w:r w:rsidRPr="009C3585">
        <w:rPr>
          <w:sz w:val="22"/>
          <w:szCs w:val="22"/>
          <w:lang w:val="en-CA"/>
        </w:rPr>
        <w:t>The team</w:t>
      </w:r>
      <w:r w:rsidR="00C82D8A" w:rsidRPr="009C3585">
        <w:rPr>
          <w:sz w:val="22"/>
          <w:szCs w:val="22"/>
          <w:lang w:val="en-CA"/>
        </w:rPr>
        <w:t xml:space="preserve"> presented teaching approach for medical diagnosis classification, explaining how </w:t>
      </w:r>
      <w:r w:rsidRPr="009C3585">
        <w:rPr>
          <w:sz w:val="22"/>
          <w:szCs w:val="22"/>
          <w:lang w:val="en-CA"/>
        </w:rPr>
        <w:t>they</w:t>
      </w:r>
      <w:r w:rsidR="00C82D8A" w:rsidRPr="009C3585">
        <w:rPr>
          <w:sz w:val="22"/>
          <w:szCs w:val="22"/>
          <w:lang w:val="en-CA"/>
        </w:rPr>
        <w:t xml:space="preserve"> </w:t>
      </w:r>
      <w:proofErr w:type="gramStart"/>
      <w:r w:rsidR="00C82D8A" w:rsidRPr="009C3585">
        <w:rPr>
          <w:sz w:val="22"/>
          <w:szCs w:val="22"/>
          <w:lang w:val="en-CA"/>
        </w:rPr>
        <w:t>simplifies</w:t>
      </w:r>
      <w:proofErr w:type="gramEnd"/>
      <w:r w:rsidR="00C82D8A" w:rsidRPr="009C3585">
        <w:rPr>
          <w:sz w:val="22"/>
          <w:szCs w:val="22"/>
          <w:lang w:val="en-CA"/>
        </w:rPr>
        <w:t xml:space="preserve"> a 16-diagnosis table to 14 diagnoses to make the material more engaging. </w:t>
      </w:r>
    </w:p>
    <w:p w14:paraId="0063DC11" w14:textId="77777777" w:rsidR="009C3585" w:rsidRDefault="00F52320" w:rsidP="009C3585">
      <w:pPr>
        <w:pStyle w:val="ListParagraph"/>
        <w:numPr>
          <w:ilvl w:val="0"/>
          <w:numId w:val="8"/>
        </w:numPr>
        <w:rPr>
          <w:sz w:val="22"/>
          <w:szCs w:val="22"/>
          <w:lang w:val="en-CA"/>
        </w:rPr>
      </w:pPr>
      <w:r w:rsidRPr="009C3585">
        <w:rPr>
          <w:sz w:val="22"/>
          <w:szCs w:val="22"/>
          <w:lang w:val="en-CA"/>
        </w:rPr>
        <w:lastRenderedPageBreak/>
        <w:t>They</w:t>
      </w:r>
      <w:r w:rsidR="00C82D8A" w:rsidRPr="009C3585">
        <w:rPr>
          <w:sz w:val="22"/>
          <w:szCs w:val="22"/>
          <w:lang w:val="en-CA"/>
        </w:rPr>
        <w:t xml:space="preserve"> demonstrated a hands-on "classification puzzle" activity where participants build a syndrome classification table using physical cards, which takes 40 minutes in the full course but was condensed for the demonstration. </w:t>
      </w:r>
    </w:p>
    <w:p w14:paraId="74701967" w14:textId="540935DA" w:rsidR="00C82D8A" w:rsidRPr="009C3585" w:rsidRDefault="00F52320" w:rsidP="009C3585">
      <w:pPr>
        <w:pStyle w:val="ListParagraph"/>
        <w:numPr>
          <w:ilvl w:val="0"/>
          <w:numId w:val="8"/>
        </w:numPr>
        <w:rPr>
          <w:sz w:val="22"/>
          <w:szCs w:val="22"/>
          <w:lang w:val="en-CA"/>
        </w:rPr>
      </w:pPr>
      <w:r w:rsidRPr="009C3585">
        <w:rPr>
          <w:sz w:val="22"/>
          <w:szCs w:val="22"/>
          <w:lang w:val="en-CA"/>
        </w:rPr>
        <w:t>The team</w:t>
      </w:r>
      <w:r w:rsidR="00C82D8A" w:rsidRPr="009C3585">
        <w:rPr>
          <w:sz w:val="22"/>
          <w:szCs w:val="22"/>
          <w:lang w:val="en-CA"/>
        </w:rPr>
        <w:t xml:space="preserve"> explained that this interactive method creates a living reference wall that remains displayed for four days, allowing students to reference it during breaks and patient discussions without needing to consult the manual.</w:t>
      </w:r>
    </w:p>
    <w:p w14:paraId="31B8EC61" w14:textId="77777777" w:rsidR="00F52320" w:rsidRPr="009C3585" w:rsidRDefault="00F52320" w:rsidP="00C82D8A">
      <w:pPr>
        <w:rPr>
          <w:sz w:val="22"/>
          <w:szCs w:val="22"/>
          <w:lang w:val="en-CA"/>
        </w:rPr>
      </w:pPr>
    </w:p>
    <w:p w14:paraId="0B8B8D17" w14:textId="77777777" w:rsidR="00C82D8A" w:rsidRPr="009C3585" w:rsidRDefault="00C82D8A" w:rsidP="00C82D8A">
      <w:pPr>
        <w:rPr>
          <w:b/>
          <w:bCs/>
          <w:sz w:val="22"/>
          <w:szCs w:val="22"/>
          <w:lang w:val="en-CA"/>
        </w:rPr>
      </w:pPr>
      <w:r w:rsidRPr="009C3585">
        <w:rPr>
          <w:b/>
          <w:bCs/>
          <w:sz w:val="22"/>
          <w:szCs w:val="22"/>
          <w:lang w:val="en-CA"/>
        </w:rPr>
        <w:t>Clinical Decision-Making Workshop Demonstration</w:t>
      </w:r>
    </w:p>
    <w:p w14:paraId="11B2049E" w14:textId="77777777" w:rsidR="009C3585" w:rsidRDefault="00F52320" w:rsidP="009C3585">
      <w:pPr>
        <w:pStyle w:val="ListParagraph"/>
        <w:numPr>
          <w:ilvl w:val="0"/>
          <w:numId w:val="9"/>
        </w:numPr>
        <w:rPr>
          <w:sz w:val="22"/>
          <w:szCs w:val="22"/>
          <w:lang w:val="en-CA"/>
        </w:rPr>
      </w:pPr>
      <w:r w:rsidRPr="009C3585">
        <w:rPr>
          <w:sz w:val="22"/>
          <w:szCs w:val="22"/>
          <w:lang w:val="en-CA"/>
        </w:rPr>
        <w:t xml:space="preserve">The team </w:t>
      </w:r>
      <w:r w:rsidR="00C82D8A" w:rsidRPr="009C3585">
        <w:rPr>
          <w:sz w:val="22"/>
          <w:szCs w:val="22"/>
          <w:lang w:val="en-CA"/>
        </w:rPr>
        <w:t xml:space="preserve">demonstrated a clinical decision-making exercise where participants have two minutes to read a patient case, name the response, and determine the next treatment step, with the exercise involving rotation between different partners. </w:t>
      </w:r>
    </w:p>
    <w:p w14:paraId="24E3F3D2" w14:textId="77777777" w:rsidR="009C3585" w:rsidRDefault="009C3585" w:rsidP="009C3585">
      <w:pPr>
        <w:pStyle w:val="ListParagraph"/>
        <w:numPr>
          <w:ilvl w:val="0"/>
          <w:numId w:val="9"/>
        </w:numPr>
        <w:rPr>
          <w:sz w:val="22"/>
          <w:szCs w:val="22"/>
          <w:lang w:val="en-CA"/>
        </w:rPr>
      </w:pPr>
      <w:r>
        <w:rPr>
          <w:sz w:val="22"/>
          <w:szCs w:val="22"/>
          <w:lang w:val="en-CA"/>
        </w:rPr>
        <w:t xml:space="preserve">They </w:t>
      </w:r>
      <w:r w:rsidR="00C82D8A" w:rsidRPr="009C3585">
        <w:rPr>
          <w:sz w:val="22"/>
          <w:szCs w:val="22"/>
          <w:lang w:val="en-CA"/>
        </w:rPr>
        <w:t xml:space="preserve">explained a workshop on follow-up sessions used in his courses, where six participants play different patient roles while the rest of the group reviews techniques or performs neurological exams. </w:t>
      </w:r>
    </w:p>
    <w:p w14:paraId="03B06AD3" w14:textId="52FBE744" w:rsidR="00C82D8A" w:rsidRPr="009C3585" w:rsidRDefault="00C82D8A" w:rsidP="009C3585">
      <w:pPr>
        <w:pStyle w:val="ListParagraph"/>
        <w:numPr>
          <w:ilvl w:val="0"/>
          <w:numId w:val="9"/>
        </w:numPr>
        <w:rPr>
          <w:sz w:val="22"/>
          <w:szCs w:val="22"/>
          <w:lang w:val="en-CA"/>
        </w:rPr>
      </w:pPr>
      <w:r w:rsidRPr="009C3585">
        <w:rPr>
          <w:sz w:val="22"/>
          <w:szCs w:val="22"/>
          <w:lang w:val="en-CA"/>
        </w:rPr>
        <w:t xml:space="preserve">The workshop involves 5 rotations with </w:t>
      </w:r>
      <w:proofErr w:type="gramStart"/>
      <w:r w:rsidRPr="009C3585">
        <w:rPr>
          <w:sz w:val="22"/>
          <w:szCs w:val="22"/>
          <w:lang w:val="en-CA"/>
        </w:rPr>
        <w:t>3-4 minute</w:t>
      </w:r>
      <w:proofErr w:type="gramEnd"/>
      <w:r w:rsidRPr="009C3585">
        <w:rPr>
          <w:sz w:val="22"/>
          <w:szCs w:val="22"/>
          <w:lang w:val="en-CA"/>
        </w:rPr>
        <w:t xml:space="preserve"> time slots per scenario, covering various follow-up situations including green light, amber light, and </w:t>
      </w:r>
      <w:proofErr w:type="gramStart"/>
      <w:r w:rsidRPr="009C3585">
        <w:rPr>
          <w:sz w:val="22"/>
          <w:szCs w:val="22"/>
          <w:lang w:val="en-CA"/>
        </w:rPr>
        <w:t>red light</w:t>
      </w:r>
      <w:proofErr w:type="gramEnd"/>
      <w:r w:rsidRPr="009C3585">
        <w:rPr>
          <w:sz w:val="22"/>
          <w:szCs w:val="22"/>
          <w:lang w:val="en-CA"/>
        </w:rPr>
        <w:t xml:space="preserve"> cases, designed to build confidence in applying the McKenzie system in clinical practice.</w:t>
      </w:r>
    </w:p>
    <w:p w14:paraId="45ACF055" w14:textId="77777777" w:rsidR="00F52320" w:rsidRPr="009C3585" w:rsidRDefault="00F52320" w:rsidP="00C82D8A">
      <w:pPr>
        <w:rPr>
          <w:sz w:val="22"/>
          <w:szCs w:val="22"/>
          <w:lang w:val="en-CA"/>
        </w:rPr>
      </w:pPr>
    </w:p>
    <w:p w14:paraId="21FECE5C" w14:textId="77777777" w:rsidR="00C82D8A" w:rsidRPr="009C3585" w:rsidRDefault="00C82D8A" w:rsidP="00C82D8A">
      <w:pPr>
        <w:rPr>
          <w:b/>
          <w:bCs/>
          <w:sz w:val="22"/>
          <w:szCs w:val="22"/>
          <w:lang w:val="en-CA"/>
        </w:rPr>
      </w:pPr>
      <w:r w:rsidRPr="009C3585">
        <w:rPr>
          <w:b/>
          <w:bCs/>
          <w:sz w:val="22"/>
          <w:szCs w:val="22"/>
          <w:lang w:val="en-CA"/>
        </w:rPr>
        <w:t>Interactive Learning Activities Adaptation</w:t>
      </w:r>
    </w:p>
    <w:p w14:paraId="55F2BAE0" w14:textId="77777777" w:rsidR="009C3585" w:rsidRDefault="003A7EF7" w:rsidP="009C3585">
      <w:pPr>
        <w:pStyle w:val="ListParagraph"/>
        <w:numPr>
          <w:ilvl w:val="0"/>
          <w:numId w:val="10"/>
        </w:numPr>
        <w:rPr>
          <w:sz w:val="22"/>
          <w:szCs w:val="22"/>
          <w:lang w:val="en-CA"/>
        </w:rPr>
      </w:pPr>
      <w:r w:rsidRPr="009C3585">
        <w:rPr>
          <w:sz w:val="22"/>
          <w:szCs w:val="22"/>
          <w:lang w:val="en-CA"/>
        </w:rPr>
        <w:t>The team</w:t>
      </w:r>
      <w:r w:rsidR="00C82D8A" w:rsidRPr="009C3585">
        <w:rPr>
          <w:sz w:val="22"/>
          <w:szCs w:val="22"/>
          <w:lang w:val="en-CA"/>
        </w:rPr>
        <w:t xml:space="preserve"> shared a learning activity involving classification cards that students arrange on a wall, identifying mistakes through collaborative discussion. </w:t>
      </w:r>
    </w:p>
    <w:p w14:paraId="53F09632" w14:textId="77777777" w:rsidR="009C3585" w:rsidRDefault="00C82D8A" w:rsidP="009C3585">
      <w:pPr>
        <w:pStyle w:val="ListParagraph"/>
        <w:numPr>
          <w:ilvl w:val="0"/>
          <w:numId w:val="10"/>
        </w:numPr>
        <w:rPr>
          <w:sz w:val="22"/>
          <w:szCs w:val="22"/>
          <w:lang w:val="en-CA"/>
        </w:rPr>
      </w:pPr>
      <w:r w:rsidRPr="009C3585">
        <w:rPr>
          <w:sz w:val="22"/>
          <w:szCs w:val="22"/>
          <w:lang w:val="en-CA"/>
        </w:rPr>
        <w:t xml:space="preserve">The group discussed adapting this and other interactive activities for online environments, with suggestions including using breakout rooms, Menti polls, and think-pair-share activities. </w:t>
      </w:r>
    </w:p>
    <w:p w14:paraId="473F719E" w14:textId="5BF7FEA3" w:rsidR="00C82D8A" w:rsidRPr="009C3585" w:rsidRDefault="00C82D8A" w:rsidP="009C3585">
      <w:pPr>
        <w:pStyle w:val="ListParagraph"/>
        <w:numPr>
          <w:ilvl w:val="0"/>
          <w:numId w:val="10"/>
        </w:numPr>
        <w:rPr>
          <w:sz w:val="22"/>
          <w:szCs w:val="22"/>
          <w:lang w:val="en-CA"/>
        </w:rPr>
      </w:pPr>
      <w:r w:rsidRPr="009C3585">
        <w:rPr>
          <w:sz w:val="22"/>
          <w:szCs w:val="22"/>
          <w:lang w:val="en-CA"/>
        </w:rPr>
        <w:t>Several participants, including Fiona and others, shared additional low-tech activities they use in their courses, including patient evaluation exercises and classification card games.</w:t>
      </w:r>
    </w:p>
    <w:p w14:paraId="11C6F8B8" w14:textId="77777777" w:rsidR="003A7EF7" w:rsidRPr="009C3585" w:rsidRDefault="003A7EF7" w:rsidP="00C82D8A">
      <w:pPr>
        <w:rPr>
          <w:sz w:val="22"/>
          <w:szCs w:val="22"/>
          <w:lang w:val="en-CA"/>
        </w:rPr>
      </w:pPr>
    </w:p>
    <w:p w14:paraId="67F69E33" w14:textId="77777777" w:rsidR="00C82D8A" w:rsidRPr="009C3585" w:rsidRDefault="00C82D8A" w:rsidP="00C82D8A">
      <w:pPr>
        <w:rPr>
          <w:b/>
          <w:bCs/>
          <w:sz w:val="22"/>
          <w:szCs w:val="22"/>
          <w:lang w:val="en-CA"/>
        </w:rPr>
      </w:pPr>
      <w:r w:rsidRPr="009C3585">
        <w:rPr>
          <w:b/>
          <w:bCs/>
          <w:sz w:val="22"/>
          <w:szCs w:val="22"/>
          <w:lang w:val="en-CA"/>
        </w:rPr>
        <w:t>Teaching Assessment Methods Presentation</w:t>
      </w:r>
    </w:p>
    <w:p w14:paraId="25498B90" w14:textId="77777777" w:rsidR="009C3585" w:rsidRDefault="003A7EF7" w:rsidP="009C3585">
      <w:pPr>
        <w:pStyle w:val="ListParagraph"/>
        <w:numPr>
          <w:ilvl w:val="0"/>
          <w:numId w:val="11"/>
        </w:numPr>
        <w:rPr>
          <w:sz w:val="22"/>
          <w:szCs w:val="22"/>
          <w:lang w:val="en-CA"/>
        </w:rPr>
      </w:pPr>
      <w:r w:rsidRPr="009C3585">
        <w:rPr>
          <w:sz w:val="22"/>
          <w:szCs w:val="22"/>
          <w:lang w:val="en-CA"/>
        </w:rPr>
        <w:t>Margaret and Yvonne</w:t>
      </w:r>
      <w:r w:rsidR="00C82D8A" w:rsidRPr="009C3585">
        <w:rPr>
          <w:sz w:val="22"/>
          <w:szCs w:val="22"/>
          <w:lang w:val="en-CA"/>
        </w:rPr>
        <w:t xml:space="preserve"> presented a teaching method for progression versus alternative approaches in patient treatment, demonstrating how to guide learners through diagnostic assessment to determine appropriate next steps when treatment methods aren't effective. </w:t>
      </w:r>
    </w:p>
    <w:p w14:paraId="16DCE0D3" w14:textId="32A9C22A" w:rsidR="009C3585" w:rsidRDefault="00C82D8A" w:rsidP="009C3585">
      <w:pPr>
        <w:pStyle w:val="ListParagraph"/>
        <w:numPr>
          <w:ilvl w:val="0"/>
          <w:numId w:val="11"/>
        </w:numPr>
        <w:rPr>
          <w:sz w:val="22"/>
          <w:szCs w:val="22"/>
          <w:lang w:val="en-CA"/>
        </w:rPr>
      </w:pPr>
      <w:r w:rsidRPr="009C3585">
        <w:rPr>
          <w:sz w:val="22"/>
          <w:szCs w:val="22"/>
          <w:lang w:val="en-CA"/>
        </w:rPr>
        <w:t>Mar</w:t>
      </w:r>
      <w:r w:rsidR="003A7EF7" w:rsidRPr="009C3585">
        <w:rPr>
          <w:sz w:val="22"/>
          <w:szCs w:val="22"/>
          <w:lang w:val="en-CA"/>
        </w:rPr>
        <w:t>garet</w:t>
      </w:r>
      <w:r w:rsidRPr="009C3585">
        <w:rPr>
          <w:sz w:val="22"/>
          <w:szCs w:val="22"/>
          <w:lang w:val="en-CA"/>
        </w:rPr>
        <w:t xml:space="preserve"> explained the concepts of diagnostic, formative, and summative assessment, showing how these assessment types can be integrated throughout a learning journey to provide real-time feedback and measure learning outcomes. </w:t>
      </w:r>
    </w:p>
    <w:p w14:paraId="7B2008A1" w14:textId="75A35ABC" w:rsidR="00C82D8A" w:rsidRPr="009C3585" w:rsidRDefault="00C82D8A" w:rsidP="009C3585">
      <w:pPr>
        <w:pStyle w:val="ListParagraph"/>
        <w:numPr>
          <w:ilvl w:val="0"/>
          <w:numId w:val="11"/>
        </w:numPr>
        <w:rPr>
          <w:sz w:val="22"/>
          <w:szCs w:val="22"/>
          <w:lang w:val="en-CA"/>
        </w:rPr>
      </w:pPr>
      <w:r w:rsidRPr="009C3585">
        <w:rPr>
          <w:sz w:val="22"/>
          <w:szCs w:val="22"/>
          <w:lang w:val="en-CA"/>
        </w:rPr>
        <w:t>The session concluded with a practical example of using these assessment types in a fictional Prague tour guide certification course, with participants taking a diagnostic quiz, formative assessments during the course, and a summative evaluation at the end to determine certification.</w:t>
      </w:r>
    </w:p>
    <w:p w14:paraId="053AF0ED" w14:textId="77777777" w:rsidR="00155F66" w:rsidRPr="009C3585" w:rsidRDefault="00155F66">
      <w:pPr>
        <w:rPr>
          <w:sz w:val="22"/>
          <w:szCs w:val="22"/>
        </w:rPr>
      </w:pPr>
    </w:p>
    <w:sectPr w:rsidR="00155F66" w:rsidRPr="009C358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D2508EF"/>
    <w:multiLevelType w:val="hybridMultilevel"/>
    <w:tmpl w:val="C628A68A"/>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FD1B24"/>
    <w:multiLevelType w:val="multilevel"/>
    <w:tmpl w:val="BAE0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A409DE"/>
    <w:multiLevelType w:val="multilevel"/>
    <w:tmpl w:val="5B068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8B2A3A"/>
    <w:multiLevelType w:val="hybridMultilevel"/>
    <w:tmpl w:val="45B499DA"/>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691438"/>
    <w:multiLevelType w:val="hybridMultilevel"/>
    <w:tmpl w:val="A5508496"/>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E94D6A"/>
    <w:multiLevelType w:val="multilevel"/>
    <w:tmpl w:val="33826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643637"/>
    <w:multiLevelType w:val="hybridMultilevel"/>
    <w:tmpl w:val="4ED0D45A"/>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05672F"/>
    <w:multiLevelType w:val="hybridMultilevel"/>
    <w:tmpl w:val="7C16DFEE"/>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D45DB3"/>
    <w:multiLevelType w:val="hybridMultilevel"/>
    <w:tmpl w:val="D0F60C90"/>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BDC0329"/>
    <w:multiLevelType w:val="hybridMultilevel"/>
    <w:tmpl w:val="E81C0F02"/>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C44917"/>
    <w:multiLevelType w:val="multilevel"/>
    <w:tmpl w:val="8DB26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4184547">
    <w:abstractNumId w:val="2"/>
  </w:num>
  <w:num w:numId="2" w16cid:durableId="1996686217">
    <w:abstractNumId w:val="1"/>
  </w:num>
  <w:num w:numId="3" w16cid:durableId="1464344063">
    <w:abstractNumId w:val="10"/>
  </w:num>
  <w:num w:numId="4" w16cid:durableId="1222130930">
    <w:abstractNumId w:val="5"/>
  </w:num>
  <w:num w:numId="5" w16cid:durableId="1589272425">
    <w:abstractNumId w:val="9"/>
  </w:num>
  <w:num w:numId="6" w16cid:durableId="454565478">
    <w:abstractNumId w:val="7"/>
  </w:num>
  <w:num w:numId="7" w16cid:durableId="775566645">
    <w:abstractNumId w:val="6"/>
  </w:num>
  <w:num w:numId="8" w16cid:durableId="1292706962">
    <w:abstractNumId w:val="3"/>
  </w:num>
  <w:num w:numId="9" w16cid:durableId="628904367">
    <w:abstractNumId w:val="8"/>
  </w:num>
  <w:num w:numId="10" w16cid:durableId="888341937">
    <w:abstractNumId w:val="0"/>
  </w:num>
  <w:num w:numId="11" w16cid:durableId="1956015917">
    <w:abstractNumId w:val="4"/>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D8A"/>
    <w:rsid w:val="00155F66"/>
    <w:rsid w:val="00176E2E"/>
    <w:rsid w:val="00321566"/>
    <w:rsid w:val="003710B3"/>
    <w:rsid w:val="00397D78"/>
    <w:rsid w:val="003A7EF7"/>
    <w:rsid w:val="003C10FB"/>
    <w:rsid w:val="00414078"/>
    <w:rsid w:val="00664BFF"/>
    <w:rsid w:val="006B6644"/>
    <w:rsid w:val="00793997"/>
    <w:rsid w:val="00860C35"/>
    <w:rsid w:val="00862A8B"/>
    <w:rsid w:val="00897EDB"/>
    <w:rsid w:val="008A27F5"/>
    <w:rsid w:val="00966CCF"/>
    <w:rsid w:val="009716F6"/>
    <w:rsid w:val="00975E9A"/>
    <w:rsid w:val="009C3585"/>
    <w:rsid w:val="00C22AF8"/>
    <w:rsid w:val="00C36117"/>
    <w:rsid w:val="00C4799B"/>
    <w:rsid w:val="00C82D8A"/>
    <w:rsid w:val="00CD071F"/>
    <w:rsid w:val="00D00DA6"/>
    <w:rsid w:val="00D71800"/>
    <w:rsid w:val="00DD2497"/>
    <w:rsid w:val="00E125B2"/>
    <w:rsid w:val="00F52320"/>
    <w:rsid w:val="00F9788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F5BD097"/>
  <w15:chartTrackingRefBased/>
  <w15:docId w15:val="{39FEC4A3-77B7-FA44-A74E-F0EC7F9F2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Arial" w:eastAsiaTheme="minorHAnsi" w:hAnsi="Arial" w:cs="Times New Roman"/>
        <w:color w:val="000000" w:themeColor="text1"/>
        <w:sz w:val="21"/>
        <w:szCs w:val="21"/>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C82D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82D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82D8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2D8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82D8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82D8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82D8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82D8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82D8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D8A"/>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rsid w:val="00C82D8A"/>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rsid w:val="00C82D8A"/>
    <w:rPr>
      <w:rFonts w:asciiTheme="minorHAnsi" w:eastAsiaTheme="majorEastAsia" w:hAnsiTheme="minorHAnsi"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C82D8A"/>
    <w:rPr>
      <w:rFonts w:asciiTheme="minorHAnsi" w:eastAsiaTheme="majorEastAsia" w:hAnsiTheme="minorHAnsi"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C82D8A"/>
    <w:rPr>
      <w:rFonts w:asciiTheme="minorHAnsi" w:eastAsiaTheme="majorEastAsia" w:hAnsiTheme="minorHAnsi" w:cstheme="majorBidi"/>
      <w:color w:val="0F4761" w:themeColor="accent1" w:themeShade="BF"/>
      <w:lang w:val="en-GB"/>
    </w:rPr>
  </w:style>
  <w:style w:type="character" w:customStyle="1" w:styleId="Heading6Char">
    <w:name w:val="Heading 6 Char"/>
    <w:basedOn w:val="DefaultParagraphFont"/>
    <w:link w:val="Heading6"/>
    <w:uiPriority w:val="9"/>
    <w:semiHidden/>
    <w:rsid w:val="00C82D8A"/>
    <w:rPr>
      <w:rFonts w:asciiTheme="minorHAnsi" w:eastAsiaTheme="majorEastAsia" w:hAnsiTheme="minorHAnsi" w:cstheme="majorBidi"/>
      <w:i/>
      <w:iCs/>
      <w:color w:val="595959" w:themeColor="text1" w:themeTint="A6"/>
      <w:lang w:val="en-GB"/>
    </w:rPr>
  </w:style>
  <w:style w:type="character" w:customStyle="1" w:styleId="Heading7Char">
    <w:name w:val="Heading 7 Char"/>
    <w:basedOn w:val="DefaultParagraphFont"/>
    <w:link w:val="Heading7"/>
    <w:uiPriority w:val="9"/>
    <w:semiHidden/>
    <w:rsid w:val="00C82D8A"/>
    <w:rPr>
      <w:rFonts w:asciiTheme="minorHAnsi" w:eastAsiaTheme="majorEastAsia" w:hAnsiTheme="minorHAnsi" w:cstheme="majorBidi"/>
      <w:color w:val="595959" w:themeColor="text1" w:themeTint="A6"/>
      <w:lang w:val="en-GB"/>
    </w:rPr>
  </w:style>
  <w:style w:type="character" w:customStyle="1" w:styleId="Heading8Char">
    <w:name w:val="Heading 8 Char"/>
    <w:basedOn w:val="DefaultParagraphFont"/>
    <w:link w:val="Heading8"/>
    <w:uiPriority w:val="9"/>
    <w:semiHidden/>
    <w:rsid w:val="00C82D8A"/>
    <w:rPr>
      <w:rFonts w:asciiTheme="minorHAnsi" w:eastAsiaTheme="majorEastAsia" w:hAnsiTheme="minorHAnsi" w:cstheme="majorBidi"/>
      <w:i/>
      <w:iCs/>
      <w:color w:val="272727" w:themeColor="text1" w:themeTint="D8"/>
      <w:lang w:val="en-GB"/>
    </w:rPr>
  </w:style>
  <w:style w:type="character" w:customStyle="1" w:styleId="Heading9Char">
    <w:name w:val="Heading 9 Char"/>
    <w:basedOn w:val="DefaultParagraphFont"/>
    <w:link w:val="Heading9"/>
    <w:uiPriority w:val="9"/>
    <w:semiHidden/>
    <w:rsid w:val="00C82D8A"/>
    <w:rPr>
      <w:rFonts w:asciiTheme="minorHAnsi" w:eastAsiaTheme="majorEastAsia" w:hAnsiTheme="minorHAnsi" w:cstheme="majorBidi"/>
      <w:color w:val="272727" w:themeColor="text1" w:themeTint="D8"/>
      <w:lang w:val="en-GB"/>
    </w:rPr>
  </w:style>
  <w:style w:type="paragraph" w:styleId="Title">
    <w:name w:val="Title"/>
    <w:basedOn w:val="Normal"/>
    <w:next w:val="Normal"/>
    <w:link w:val="TitleChar"/>
    <w:uiPriority w:val="10"/>
    <w:qFormat/>
    <w:rsid w:val="00C82D8A"/>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C82D8A"/>
    <w:rPr>
      <w:rFonts w:asciiTheme="majorHAnsi" w:eastAsiaTheme="majorEastAsia" w:hAnsiTheme="majorHAnsi" w:cstheme="majorBidi"/>
      <w:color w:val="auto"/>
      <w:spacing w:val="-10"/>
      <w:kern w:val="28"/>
      <w:sz w:val="56"/>
      <w:szCs w:val="56"/>
      <w:lang w:val="en-GB"/>
    </w:rPr>
  </w:style>
  <w:style w:type="paragraph" w:styleId="Subtitle">
    <w:name w:val="Subtitle"/>
    <w:basedOn w:val="Normal"/>
    <w:next w:val="Normal"/>
    <w:link w:val="SubtitleChar"/>
    <w:uiPriority w:val="11"/>
    <w:qFormat/>
    <w:rsid w:val="00C82D8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2D8A"/>
    <w:rPr>
      <w:rFonts w:asciiTheme="minorHAnsi" w:eastAsiaTheme="majorEastAsia" w:hAnsiTheme="minorHAnsi"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C82D8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82D8A"/>
    <w:rPr>
      <w:i/>
      <w:iCs/>
      <w:color w:val="404040" w:themeColor="text1" w:themeTint="BF"/>
      <w:lang w:val="en-GB"/>
    </w:rPr>
  </w:style>
  <w:style w:type="paragraph" w:styleId="ListParagraph">
    <w:name w:val="List Paragraph"/>
    <w:basedOn w:val="Normal"/>
    <w:uiPriority w:val="34"/>
    <w:qFormat/>
    <w:rsid w:val="00C82D8A"/>
    <w:pPr>
      <w:ind w:left="720"/>
      <w:contextualSpacing/>
    </w:pPr>
  </w:style>
  <w:style w:type="character" w:styleId="IntenseEmphasis">
    <w:name w:val="Intense Emphasis"/>
    <w:basedOn w:val="DefaultParagraphFont"/>
    <w:uiPriority w:val="21"/>
    <w:qFormat/>
    <w:rsid w:val="00C82D8A"/>
    <w:rPr>
      <w:i/>
      <w:iCs/>
      <w:color w:val="0F4761" w:themeColor="accent1" w:themeShade="BF"/>
    </w:rPr>
  </w:style>
  <w:style w:type="paragraph" w:styleId="IntenseQuote">
    <w:name w:val="Intense Quote"/>
    <w:basedOn w:val="Normal"/>
    <w:next w:val="Normal"/>
    <w:link w:val="IntenseQuoteChar"/>
    <w:uiPriority w:val="30"/>
    <w:qFormat/>
    <w:rsid w:val="00C82D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2D8A"/>
    <w:rPr>
      <w:i/>
      <w:iCs/>
      <w:color w:val="0F4761" w:themeColor="accent1" w:themeShade="BF"/>
      <w:lang w:val="en-GB"/>
    </w:rPr>
  </w:style>
  <w:style w:type="character" w:styleId="IntenseReference">
    <w:name w:val="Intense Reference"/>
    <w:basedOn w:val="DefaultParagraphFont"/>
    <w:uiPriority w:val="32"/>
    <w:qFormat/>
    <w:rsid w:val="00C82D8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1082</Words>
  <Characters>7050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Education | McKenzie Institute</dc:creator>
  <cp:keywords/>
  <dc:description/>
  <cp:lastModifiedBy>Helen Clare | McKenzie Institute</cp:lastModifiedBy>
  <cp:revision>2</cp:revision>
  <dcterms:created xsi:type="dcterms:W3CDTF">2026-06-27T11:20:00Z</dcterms:created>
  <dcterms:modified xsi:type="dcterms:W3CDTF">2026-06-27T11:20:00Z</dcterms:modified>
</cp:coreProperties>
</file>