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6D7EC2" w14:textId="77777777" w:rsidR="00F21C0B" w:rsidRPr="00F21C0B" w:rsidRDefault="00F21C0B" w:rsidP="00BA559F">
      <w:pPr>
        <w:rPr>
          <w:b/>
          <w:bCs/>
          <w:sz w:val="28"/>
          <w:szCs w:val="28"/>
          <w:lang w:val="en-CA"/>
        </w:rPr>
      </w:pPr>
      <w:r w:rsidRPr="00F21C0B">
        <w:rPr>
          <w:b/>
          <w:bCs/>
          <w:sz w:val="28"/>
          <w:szCs w:val="28"/>
          <w:lang w:val="en-CA"/>
        </w:rPr>
        <w:t>Faculty Session Four:</w:t>
      </w:r>
    </w:p>
    <w:p w14:paraId="54C11A71" w14:textId="77777777" w:rsidR="00F21C0B" w:rsidRDefault="00F21C0B" w:rsidP="00BA559F">
      <w:pPr>
        <w:rPr>
          <w:b/>
          <w:bCs/>
          <w:lang w:val="en-CA"/>
        </w:rPr>
      </w:pPr>
    </w:p>
    <w:p w14:paraId="0F8A0875" w14:textId="07A4B504" w:rsidR="00BA559F" w:rsidRPr="00F21C0B" w:rsidRDefault="00BA559F" w:rsidP="00BA559F">
      <w:pPr>
        <w:rPr>
          <w:b/>
          <w:bCs/>
          <w:sz w:val="24"/>
          <w:szCs w:val="24"/>
          <w:lang w:val="en-CA"/>
        </w:rPr>
      </w:pPr>
      <w:r w:rsidRPr="00F21C0B">
        <w:rPr>
          <w:b/>
          <w:bCs/>
          <w:sz w:val="24"/>
          <w:szCs w:val="24"/>
          <w:lang w:val="en-CA"/>
        </w:rPr>
        <w:t>Quick recap</w:t>
      </w:r>
    </w:p>
    <w:p w14:paraId="02CBE847" w14:textId="77777777" w:rsidR="00F21C0B" w:rsidRDefault="00BA559F" w:rsidP="00BA559F">
      <w:pPr>
        <w:rPr>
          <w:sz w:val="22"/>
          <w:szCs w:val="22"/>
          <w:lang w:val="en-CA"/>
        </w:rPr>
      </w:pPr>
      <w:r w:rsidRPr="00F21C0B">
        <w:rPr>
          <w:sz w:val="22"/>
          <w:szCs w:val="22"/>
          <w:lang w:val="en-CA"/>
        </w:rPr>
        <w:t xml:space="preserve">This meeting was a webinar focused on updates to contractor functions, featuring presentations by </w:t>
      </w:r>
      <w:r w:rsidR="00DC4DDA" w:rsidRPr="00F21C0B">
        <w:rPr>
          <w:sz w:val="22"/>
          <w:szCs w:val="22"/>
          <w:lang w:val="en-CA"/>
        </w:rPr>
        <w:t>Christian</w:t>
      </w:r>
      <w:r w:rsidRPr="00F21C0B">
        <w:rPr>
          <w:sz w:val="22"/>
          <w:szCs w:val="22"/>
          <w:lang w:val="en-CA"/>
        </w:rPr>
        <w:t xml:space="preserve"> and </w:t>
      </w:r>
      <w:r w:rsidR="00DC4DDA" w:rsidRPr="00F21C0B">
        <w:rPr>
          <w:sz w:val="22"/>
          <w:szCs w:val="22"/>
          <w:lang w:val="en-CA"/>
        </w:rPr>
        <w:t>Florence</w:t>
      </w:r>
      <w:r w:rsidRPr="00F21C0B">
        <w:rPr>
          <w:sz w:val="22"/>
          <w:szCs w:val="22"/>
          <w:lang w:val="en-CA"/>
        </w:rPr>
        <w:t xml:space="preserve"> on tendinopathy treatment and muscle injury rehabilitation. </w:t>
      </w:r>
    </w:p>
    <w:p w14:paraId="3D922F1B" w14:textId="77777777" w:rsidR="00F21C0B" w:rsidRDefault="00F21C0B" w:rsidP="00BA559F">
      <w:pPr>
        <w:rPr>
          <w:sz w:val="22"/>
          <w:szCs w:val="22"/>
          <w:lang w:val="en-CA"/>
        </w:rPr>
      </w:pPr>
    </w:p>
    <w:p w14:paraId="443192F9" w14:textId="77777777" w:rsidR="00F21C0B" w:rsidRDefault="00DC4DDA" w:rsidP="00BA559F">
      <w:pPr>
        <w:rPr>
          <w:sz w:val="22"/>
          <w:szCs w:val="22"/>
          <w:lang w:val="en-CA"/>
        </w:rPr>
      </w:pPr>
      <w:r w:rsidRPr="00F21C0B">
        <w:rPr>
          <w:sz w:val="22"/>
          <w:szCs w:val="22"/>
          <w:lang w:val="en-CA"/>
        </w:rPr>
        <w:t>Christian</w:t>
      </w:r>
      <w:r w:rsidR="00BA559F" w:rsidRPr="00F21C0B">
        <w:rPr>
          <w:sz w:val="22"/>
          <w:szCs w:val="22"/>
          <w:lang w:val="en-CA"/>
        </w:rPr>
        <w:t xml:space="preserve"> led a discussion on current evidence for tendinopathy rehabilitation, explaining that while progressive loading programs work well for Achilles, patellar, and hamstring tendinopathies, gluteal tendinopathy requires different approaches including education rather than specific exercises. The presentation included interactive elements where participants used wall charts to categorize tendinopathy information and discussed diagnostic approaches. </w:t>
      </w:r>
    </w:p>
    <w:p w14:paraId="007F7692" w14:textId="77777777" w:rsidR="00F21C0B" w:rsidRDefault="00F21C0B" w:rsidP="00BA559F">
      <w:pPr>
        <w:rPr>
          <w:sz w:val="22"/>
          <w:szCs w:val="22"/>
          <w:lang w:val="en-CA"/>
        </w:rPr>
      </w:pPr>
    </w:p>
    <w:p w14:paraId="1F503559" w14:textId="77777777" w:rsidR="00F21C0B" w:rsidRDefault="00DC4DDA" w:rsidP="00BA559F">
      <w:pPr>
        <w:rPr>
          <w:sz w:val="22"/>
          <w:szCs w:val="22"/>
          <w:lang w:val="en-CA"/>
        </w:rPr>
      </w:pPr>
      <w:r w:rsidRPr="00F21C0B">
        <w:rPr>
          <w:sz w:val="22"/>
          <w:szCs w:val="22"/>
          <w:lang w:val="en-CA"/>
        </w:rPr>
        <w:t>Florence</w:t>
      </w:r>
      <w:r w:rsidR="00BA559F" w:rsidRPr="00F21C0B">
        <w:rPr>
          <w:sz w:val="22"/>
          <w:szCs w:val="22"/>
          <w:lang w:val="en-CA"/>
        </w:rPr>
        <w:t xml:space="preserve"> then presented on muscle injury rehabilitation, emphasizing that traditional approaches focusing solely on healing time are insufficient and that early loading is crucial for recovery. The discussion highlighted that muscle injuries affect different tissues (muscle fibers vs. connective tissue) depending on the mechanism of injury, and that rehabilitation should focus on restoring functional capacity rather than just structural healing. </w:t>
      </w:r>
    </w:p>
    <w:p w14:paraId="2918E88D" w14:textId="77777777" w:rsidR="00F21C0B" w:rsidRDefault="00F21C0B" w:rsidP="00BA559F">
      <w:pPr>
        <w:rPr>
          <w:sz w:val="22"/>
          <w:szCs w:val="22"/>
          <w:lang w:val="en-CA"/>
        </w:rPr>
      </w:pPr>
    </w:p>
    <w:p w14:paraId="3D733510" w14:textId="631B4AFE" w:rsidR="00BA559F" w:rsidRPr="00F21C0B" w:rsidRDefault="00BA559F" w:rsidP="00BA559F">
      <w:pPr>
        <w:rPr>
          <w:sz w:val="22"/>
          <w:szCs w:val="22"/>
          <w:lang w:val="en-CA"/>
        </w:rPr>
      </w:pPr>
      <w:r w:rsidRPr="00F21C0B">
        <w:rPr>
          <w:sz w:val="22"/>
          <w:szCs w:val="22"/>
          <w:lang w:val="en-CA"/>
        </w:rPr>
        <w:t>The presenters also addressed questions about proprioceptive exercises, end-range strength training, and the variability in tendinopathy diagnosis methods across different studies.</w:t>
      </w:r>
    </w:p>
    <w:p w14:paraId="3D04A216" w14:textId="77777777" w:rsidR="00F21C0B" w:rsidRDefault="00F21C0B" w:rsidP="00BA559F">
      <w:pPr>
        <w:rPr>
          <w:sz w:val="22"/>
          <w:szCs w:val="22"/>
          <w:lang w:val="en-CA"/>
        </w:rPr>
      </w:pPr>
    </w:p>
    <w:p w14:paraId="0CC76B06" w14:textId="3B9E252A" w:rsidR="00BA559F" w:rsidRPr="00F21C0B" w:rsidRDefault="00DC4DDA" w:rsidP="00BA559F">
      <w:pPr>
        <w:rPr>
          <w:sz w:val="22"/>
          <w:szCs w:val="22"/>
          <w:lang w:val="en-CA"/>
        </w:rPr>
      </w:pPr>
      <w:r w:rsidRPr="00F21C0B">
        <w:rPr>
          <w:sz w:val="22"/>
          <w:szCs w:val="22"/>
          <w:lang w:val="en-CA"/>
        </w:rPr>
        <w:t>Christian</w:t>
      </w:r>
    </w:p>
    <w:p w14:paraId="596175BB" w14:textId="784E768A" w:rsidR="00BA559F" w:rsidRPr="00F21C0B" w:rsidRDefault="00BA559F" w:rsidP="00BA559F">
      <w:pPr>
        <w:numPr>
          <w:ilvl w:val="0"/>
          <w:numId w:val="3"/>
        </w:numPr>
        <w:rPr>
          <w:sz w:val="22"/>
          <w:szCs w:val="22"/>
          <w:lang w:val="en-CA"/>
        </w:rPr>
      </w:pPr>
      <w:r w:rsidRPr="00F21C0B">
        <w:rPr>
          <w:sz w:val="22"/>
          <w:szCs w:val="22"/>
          <w:lang w:val="en-CA"/>
        </w:rPr>
        <w:t>Provide</w:t>
      </w:r>
      <w:r w:rsidR="00DC4DDA" w:rsidRPr="00F21C0B">
        <w:rPr>
          <w:sz w:val="22"/>
          <w:szCs w:val="22"/>
          <w:lang w:val="en-CA"/>
        </w:rPr>
        <w:t>d</w:t>
      </w:r>
      <w:r w:rsidRPr="00F21C0B">
        <w:rPr>
          <w:sz w:val="22"/>
          <w:szCs w:val="22"/>
          <w:lang w:val="en-CA"/>
        </w:rPr>
        <w:t xml:space="preserve"> the QR code for accessing all the presentation materials used during the session.</w:t>
      </w:r>
    </w:p>
    <w:p w14:paraId="0AEE7BC0" w14:textId="612DA4A5" w:rsidR="00BA559F" w:rsidRPr="00F21C0B" w:rsidRDefault="00BA559F" w:rsidP="00BA559F">
      <w:pPr>
        <w:numPr>
          <w:ilvl w:val="0"/>
          <w:numId w:val="3"/>
        </w:numPr>
        <w:rPr>
          <w:sz w:val="22"/>
          <w:szCs w:val="22"/>
          <w:lang w:val="en-CA"/>
        </w:rPr>
      </w:pPr>
      <w:r w:rsidRPr="00F21C0B">
        <w:rPr>
          <w:sz w:val="22"/>
          <w:szCs w:val="22"/>
          <w:lang w:val="en-CA"/>
        </w:rPr>
        <w:t>Ma</w:t>
      </w:r>
      <w:r w:rsidR="00DC4DDA" w:rsidRPr="00F21C0B">
        <w:rPr>
          <w:sz w:val="22"/>
          <w:szCs w:val="22"/>
          <w:lang w:val="en-CA"/>
        </w:rPr>
        <w:t>d</w:t>
      </w:r>
      <w:r w:rsidRPr="00F21C0B">
        <w:rPr>
          <w:sz w:val="22"/>
          <w:szCs w:val="22"/>
          <w:lang w:val="en-CA"/>
        </w:rPr>
        <w:t>e available the QR code for following on Instagram.</w:t>
      </w:r>
    </w:p>
    <w:p w14:paraId="7A0E2F0A" w14:textId="66C4766A" w:rsidR="00BA559F" w:rsidRPr="00F21C0B" w:rsidRDefault="00DC4DDA" w:rsidP="00BA559F">
      <w:pPr>
        <w:numPr>
          <w:ilvl w:val="0"/>
          <w:numId w:val="3"/>
        </w:numPr>
        <w:rPr>
          <w:sz w:val="22"/>
          <w:szCs w:val="22"/>
          <w:lang w:val="en-CA"/>
        </w:rPr>
      </w:pPr>
      <w:r w:rsidRPr="00F21C0B">
        <w:rPr>
          <w:sz w:val="22"/>
          <w:szCs w:val="22"/>
          <w:lang w:val="en-CA"/>
        </w:rPr>
        <w:t>Was</w:t>
      </w:r>
      <w:r w:rsidR="00BA559F" w:rsidRPr="00F21C0B">
        <w:rPr>
          <w:sz w:val="22"/>
          <w:szCs w:val="22"/>
          <w:lang w:val="en-CA"/>
        </w:rPr>
        <w:t xml:space="preserve"> available for questions after the session.</w:t>
      </w:r>
    </w:p>
    <w:p w14:paraId="7E949135" w14:textId="77777777" w:rsidR="00DC4DDA" w:rsidRPr="00F21C0B" w:rsidRDefault="00DC4DDA" w:rsidP="00BA559F">
      <w:pPr>
        <w:rPr>
          <w:b/>
          <w:bCs/>
          <w:sz w:val="22"/>
          <w:szCs w:val="22"/>
          <w:lang w:val="en-CA"/>
        </w:rPr>
      </w:pPr>
    </w:p>
    <w:p w14:paraId="53D2B70E" w14:textId="19FF9F72" w:rsidR="00BA559F" w:rsidRPr="00F21C0B" w:rsidRDefault="00BA559F" w:rsidP="00BA559F">
      <w:pPr>
        <w:rPr>
          <w:b/>
          <w:bCs/>
          <w:sz w:val="24"/>
          <w:szCs w:val="24"/>
          <w:lang w:val="en-CA"/>
        </w:rPr>
      </w:pPr>
      <w:r w:rsidRPr="00F21C0B">
        <w:rPr>
          <w:b/>
          <w:bCs/>
          <w:sz w:val="24"/>
          <w:szCs w:val="24"/>
          <w:lang w:val="en-CA"/>
        </w:rPr>
        <w:t>Summary</w:t>
      </w:r>
    </w:p>
    <w:p w14:paraId="06E80A03" w14:textId="77777777" w:rsidR="00F21C0B" w:rsidRDefault="00F21C0B" w:rsidP="00BA559F">
      <w:pPr>
        <w:rPr>
          <w:b/>
          <w:bCs/>
          <w:sz w:val="22"/>
          <w:szCs w:val="22"/>
          <w:lang w:val="en-CA"/>
        </w:rPr>
      </w:pPr>
    </w:p>
    <w:p w14:paraId="7D073B55" w14:textId="75CAFA0F" w:rsidR="00BA559F" w:rsidRPr="00F21C0B" w:rsidRDefault="00BA559F" w:rsidP="00BA559F">
      <w:pPr>
        <w:rPr>
          <w:b/>
          <w:bCs/>
          <w:sz w:val="22"/>
          <w:szCs w:val="22"/>
          <w:lang w:val="en-CA"/>
        </w:rPr>
      </w:pPr>
      <w:r w:rsidRPr="00F21C0B">
        <w:rPr>
          <w:b/>
          <w:bCs/>
          <w:sz w:val="22"/>
          <w:szCs w:val="22"/>
          <w:lang w:val="en-CA"/>
        </w:rPr>
        <w:t>Tendinopathy Treatment Updates</w:t>
      </w:r>
    </w:p>
    <w:p w14:paraId="3092E625" w14:textId="77777777" w:rsidR="00F21C0B" w:rsidRDefault="00DC4DDA" w:rsidP="00F21C0B">
      <w:pPr>
        <w:pStyle w:val="ListParagraph"/>
        <w:numPr>
          <w:ilvl w:val="0"/>
          <w:numId w:val="5"/>
        </w:numPr>
        <w:rPr>
          <w:sz w:val="22"/>
          <w:szCs w:val="22"/>
          <w:lang w:val="en-CA"/>
        </w:rPr>
      </w:pPr>
      <w:r w:rsidRPr="00F21C0B">
        <w:rPr>
          <w:sz w:val="22"/>
          <w:szCs w:val="22"/>
          <w:lang w:val="en-CA"/>
        </w:rPr>
        <w:t>Christian</w:t>
      </w:r>
      <w:r w:rsidR="00BA559F" w:rsidRPr="00F21C0B">
        <w:rPr>
          <w:sz w:val="22"/>
          <w:szCs w:val="22"/>
          <w:lang w:val="en-CA"/>
        </w:rPr>
        <w:t xml:space="preserve"> and </w:t>
      </w:r>
      <w:r w:rsidRPr="00F21C0B">
        <w:rPr>
          <w:sz w:val="22"/>
          <w:szCs w:val="22"/>
          <w:lang w:val="en-CA"/>
        </w:rPr>
        <w:t>Florence</w:t>
      </w:r>
      <w:r w:rsidR="00BA559F" w:rsidRPr="00F21C0B">
        <w:rPr>
          <w:sz w:val="22"/>
          <w:szCs w:val="22"/>
          <w:lang w:val="en-CA"/>
        </w:rPr>
        <w:t xml:space="preserve"> conducted a session on updating contractor functions, focusing on tendinopathy treatments and rehabilitation approaches. They discussed current evidence for different tendinopathies, including Achilles, patellar, gluteal, elbow, and rotator cuff tendinopathy. </w:t>
      </w:r>
    </w:p>
    <w:p w14:paraId="586836B0" w14:textId="77777777" w:rsidR="00F21C0B" w:rsidRDefault="00BA559F" w:rsidP="00F21C0B">
      <w:pPr>
        <w:pStyle w:val="ListParagraph"/>
        <w:numPr>
          <w:ilvl w:val="0"/>
          <w:numId w:val="5"/>
        </w:numPr>
        <w:rPr>
          <w:sz w:val="22"/>
          <w:szCs w:val="22"/>
          <w:lang w:val="en-CA"/>
        </w:rPr>
      </w:pPr>
      <w:r w:rsidRPr="00F21C0B">
        <w:rPr>
          <w:sz w:val="22"/>
          <w:szCs w:val="22"/>
          <w:lang w:val="en-CA"/>
        </w:rPr>
        <w:t xml:space="preserve">The presenters highlighted that while progressive loading programs are effective for Achilles and patellar tendinopathy, evidence for gluteal and rotator cuff tendinopathy is more limited, with mixed results from available studies. </w:t>
      </w:r>
    </w:p>
    <w:p w14:paraId="197C1B13" w14:textId="0E93D53D" w:rsidR="00BA559F" w:rsidRPr="00F21C0B" w:rsidRDefault="00BA559F" w:rsidP="00F21C0B">
      <w:pPr>
        <w:pStyle w:val="ListParagraph"/>
        <w:numPr>
          <w:ilvl w:val="0"/>
          <w:numId w:val="5"/>
        </w:numPr>
        <w:rPr>
          <w:sz w:val="22"/>
          <w:szCs w:val="22"/>
          <w:lang w:val="en-CA"/>
        </w:rPr>
      </w:pPr>
      <w:r w:rsidRPr="00F21C0B">
        <w:rPr>
          <w:sz w:val="22"/>
          <w:szCs w:val="22"/>
          <w:lang w:val="en-CA"/>
        </w:rPr>
        <w:t>They emphasized that not all tendinopathies respond the same way to exercise-based treatments, and the current four-level rehabilitation model may not be evidence-based for all types of tendinopathy.</w:t>
      </w:r>
    </w:p>
    <w:p w14:paraId="5381F1C7" w14:textId="77777777" w:rsidR="00DC4DDA" w:rsidRPr="00F21C0B" w:rsidRDefault="00DC4DDA" w:rsidP="00BA559F">
      <w:pPr>
        <w:rPr>
          <w:sz w:val="22"/>
          <w:szCs w:val="22"/>
          <w:lang w:val="en-CA"/>
        </w:rPr>
      </w:pPr>
    </w:p>
    <w:p w14:paraId="492770A8" w14:textId="77777777" w:rsidR="00BA559F" w:rsidRPr="00F21C0B" w:rsidRDefault="00BA559F" w:rsidP="00BA559F">
      <w:pPr>
        <w:rPr>
          <w:b/>
          <w:bCs/>
          <w:sz w:val="22"/>
          <w:szCs w:val="22"/>
          <w:lang w:val="en-CA"/>
        </w:rPr>
      </w:pPr>
      <w:r w:rsidRPr="00F21C0B">
        <w:rPr>
          <w:b/>
          <w:bCs/>
          <w:sz w:val="22"/>
          <w:szCs w:val="22"/>
          <w:lang w:val="en-CA"/>
        </w:rPr>
        <w:t>Shoulder Instability Treatment Discussion</w:t>
      </w:r>
    </w:p>
    <w:p w14:paraId="1A60D0A7" w14:textId="77777777" w:rsidR="00F21C0B" w:rsidRDefault="00DC4DDA" w:rsidP="00F21C0B">
      <w:pPr>
        <w:pStyle w:val="ListParagraph"/>
        <w:numPr>
          <w:ilvl w:val="0"/>
          <w:numId w:val="7"/>
        </w:numPr>
        <w:rPr>
          <w:sz w:val="22"/>
          <w:szCs w:val="22"/>
          <w:lang w:val="en-CA"/>
        </w:rPr>
      </w:pPr>
      <w:r w:rsidRPr="00F21C0B">
        <w:rPr>
          <w:sz w:val="22"/>
          <w:szCs w:val="22"/>
          <w:lang w:val="en-CA"/>
        </w:rPr>
        <w:t xml:space="preserve">Christian and Florence </w:t>
      </w:r>
      <w:r w:rsidR="00BA559F" w:rsidRPr="00F21C0B">
        <w:rPr>
          <w:sz w:val="22"/>
          <w:szCs w:val="22"/>
          <w:lang w:val="en-CA"/>
        </w:rPr>
        <w:t xml:space="preserve">discussed the importance of including both resistance training and proprioceptive exercises in treating shoulder instability, with exercises like the Swiss ball balancing and laser target exercises being effective and enjoyable for patients. </w:t>
      </w:r>
    </w:p>
    <w:p w14:paraId="73439B9A" w14:textId="77777777" w:rsidR="00F21C0B" w:rsidRDefault="00DC4DDA" w:rsidP="00F21C0B">
      <w:pPr>
        <w:pStyle w:val="ListParagraph"/>
        <w:numPr>
          <w:ilvl w:val="0"/>
          <w:numId w:val="7"/>
        </w:numPr>
        <w:rPr>
          <w:sz w:val="22"/>
          <w:szCs w:val="22"/>
          <w:lang w:val="en-CA"/>
        </w:rPr>
      </w:pPr>
      <w:r w:rsidRPr="00F21C0B">
        <w:rPr>
          <w:sz w:val="22"/>
          <w:szCs w:val="22"/>
          <w:lang w:val="en-CA"/>
        </w:rPr>
        <w:t>Florence</w:t>
      </w:r>
      <w:r w:rsidR="00BA559F" w:rsidRPr="00F21C0B">
        <w:rPr>
          <w:sz w:val="22"/>
          <w:szCs w:val="22"/>
          <w:lang w:val="en-CA"/>
        </w:rPr>
        <w:t xml:space="preserve"> presented on muscle injury rehabilitation, emphasizing the need for early loading and functional goals rather than focusing solely on healing timelines, and highlighted the importance of restoring full range of motion and functional capacity to prevent recurrence. </w:t>
      </w:r>
    </w:p>
    <w:p w14:paraId="0919C52F" w14:textId="0F315982" w:rsidR="00BA559F" w:rsidRPr="00F21C0B" w:rsidRDefault="00BA559F" w:rsidP="00F21C0B">
      <w:pPr>
        <w:pStyle w:val="ListParagraph"/>
        <w:numPr>
          <w:ilvl w:val="0"/>
          <w:numId w:val="7"/>
        </w:numPr>
        <w:rPr>
          <w:sz w:val="22"/>
          <w:szCs w:val="22"/>
          <w:lang w:val="en-CA"/>
        </w:rPr>
      </w:pPr>
      <w:r w:rsidRPr="00F21C0B">
        <w:rPr>
          <w:sz w:val="22"/>
          <w:szCs w:val="22"/>
          <w:lang w:val="en-CA"/>
        </w:rPr>
        <w:lastRenderedPageBreak/>
        <w:t>The discussion included questions about proprioception definitions, end-range strength training, and natural history of tendon injuries, with Thanos explaining that while some tendons require loading for remodeling, others may resolve through natural history or metabolic improvements.</w:t>
      </w:r>
    </w:p>
    <w:p w14:paraId="401D59F9" w14:textId="77777777" w:rsidR="00DC4DDA" w:rsidRPr="00F21C0B" w:rsidRDefault="00DC4DDA" w:rsidP="00BA559F">
      <w:pPr>
        <w:rPr>
          <w:sz w:val="22"/>
          <w:szCs w:val="22"/>
          <w:lang w:val="en-CA"/>
        </w:rPr>
      </w:pPr>
    </w:p>
    <w:p w14:paraId="3CAE61FC" w14:textId="77777777" w:rsidR="00BA559F" w:rsidRPr="00F21C0B" w:rsidRDefault="00BA559F" w:rsidP="00BA559F">
      <w:pPr>
        <w:rPr>
          <w:b/>
          <w:bCs/>
          <w:sz w:val="22"/>
          <w:szCs w:val="22"/>
          <w:lang w:val="en-CA"/>
        </w:rPr>
      </w:pPr>
      <w:r w:rsidRPr="00F21C0B">
        <w:rPr>
          <w:b/>
          <w:bCs/>
          <w:sz w:val="22"/>
          <w:szCs w:val="22"/>
          <w:lang w:val="en-CA"/>
        </w:rPr>
        <w:t>Individualized Tendon Rehabilitation Approaches</w:t>
      </w:r>
    </w:p>
    <w:p w14:paraId="56BE1BD0" w14:textId="20D5D961" w:rsidR="00F21C0B" w:rsidRDefault="00DC4DDA" w:rsidP="00F21C0B">
      <w:pPr>
        <w:pStyle w:val="ListParagraph"/>
        <w:numPr>
          <w:ilvl w:val="0"/>
          <w:numId w:val="8"/>
        </w:numPr>
        <w:rPr>
          <w:sz w:val="22"/>
          <w:szCs w:val="22"/>
          <w:lang w:val="en-CA"/>
        </w:rPr>
      </w:pPr>
      <w:r w:rsidRPr="00F21C0B">
        <w:rPr>
          <w:sz w:val="22"/>
          <w:szCs w:val="22"/>
          <w:lang w:val="en-CA"/>
        </w:rPr>
        <w:t xml:space="preserve">Christian and Florence </w:t>
      </w:r>
      <w:r w:rsidR="00BA559F" w:rsidRPr="00F21C0B">
        <w:rPr>
          <w:sz w:val="22"/>
          <w:szCs w:val="22"/>
          <w:lang w:val="en-CA"/>
        </w:rPr>
        <w:t xml:space="preserve">discussed the importance of tailoring tendon rehabilitation approaches based on specific tendon function rather than following a universal four-stage progression. </w:t>
      </w:r>
    </w:p>
    <w:p w14:paraId="12F9BE26" w14:textId="77777777" w:rsidR="00F21C0B" w:rsidRDefault="00F21C0B" w:rsidP="00F21C0B">
      <w:pPr>
        <w:pStyle w:val="ListParagraph"/>
        <w:numPr>
          <w:ilvl w:val="0"/>
          <w:numId w:val="8"/>
        </w:numPr>
        <w:rPr>
          <w:sz w:val="22"/>
          <w:szCs w:val="22"/>
          <w:lang w:val="en-CA"/>
        </w:rPr>
      </w:pPr>
      <w:r>
        <w:rPr>
          <w:sz w:val="22"/>
          <w:szCs w:val="22"/>
          <w:lang w:val="en-CA"/>
        </w:rPr>
        <w:t>T</w:t>
      </w:r>
      <w:r w:rsidR="00BA559F" w:rsidRPr="00F21C0B">
        <w:rPr>
          <w:sz w:val="22"/>
          <w:szCs w:val="22"/>
          <w:lang w:val="en-CA"/>
        </w:rPr>
        <w:t xml:space="preserve">hey highlighted that certain tendinopathies respond better to isometric exercises, while others benefit from different approaches, emphasizing the need for individualized treatment plans. </w:t>
      </w:r>
    </w:p>
    <w:p w14:paraId="389B92BD" w14:textId="77777777" w:rsidR="00F21C0B" w:rsidRDefault="00BA559F" w:rsidP="00F21C0B">
      <w:pPr>
        <w:pStyle w:val="ListParagraph"/>
        <w:numPr>
          <w:ilvl w:val="0"/>
          <w:numId w:val="8"/>
        </w:numPr>
        <w:rPr>
          <w:sz w:val="22"/>
          <w:szCs w:val="22"/>
          <w:lang w:val="en-CA"/>
        </w:rPr>
      </w:pPr>
      <w:r w:rsidRPr="00F21C0B">
        <w:rPr>
          <w:sz w:val="22"/>
          <w:szCs w:val="22"/>
          <w:lang w:val="en-CA"/>
        </w:rPr>
        <w:t xml:space="preserve">The conversation also touched on the potential influence of varying diagnostic methods across studies and the importance of screening for spinal derangements before addressing extremity issues. </w:t>
      </w:r>
    </w:p>
    <w:p w14:paraId="08F1C616" w14:textId="12008283" w:rsidR="00BA559F" w:rsidRPr="00F21C0B" w:rsidRDefault="00BA559F" w:rsidP="00F21C0B">
      <w:pPr>
        <w:pStyle w:val="ListParagraph"/>
        <w:numPr>
          <w:ilvl w:val="0"/>
          <w:numId w:val="8"/>
        </w:numPr>
        <w:rPr>
          <w:sz w:val="22"/>
          <w:szCs w:val="22"/>
          <w:lang w:val="en-CA"/>
        </w:rPr>
      </w:pPr>
      <w:r w:rsidRPr="00F21C0B">
        <w:rPr>
          <w:sz w:val="22"/>
          <w:szCs w:val="22"/>
          <w:lang w:val="en-CA"/>
        </w:rPr>
        <w:t>They concluded by stressing the value of using metronomes and music for enhancing treatment efficiency and patient focus.</w:t>
      </w:r>
    </w:p>
    <w:p w14:paraId="18D58B56" w14:textId="77777777" w:rsidR="00DC4DDA" w:rsidRPr="00F21C0B" w:rsidRDefault="00DC4DDA" w:rsidP="00BA559F">
      <w:pPr>
        <w:rPr>
          <w:sz w:val="22"/>
          <w:szCs w:val="22"/>
          <w:lang w:val="en-CA"/>
        </w:rPr>
      </w:pPr>
    </w:p>
    <w:p w14:paraId="3E48DCAF" w14:textId="77777777" w:rsidR="00BA559F" w:rsidRPr="00F21C0B" w:rsidRDefault="00BA559F" w:rsidP="00BA559F">
      <w:pPr>
        <w:rPr>
          <w:b/>
          <w:bCs/>
          <w:sz w:val="22"/>
          <w:szCs w:val="22"/>
          <w:lang w:val="en-CA"/>
        </w:rPr>
      </w:pPr>
      <w:r w:rsidRPr="00F21C0B">
        <w:rPr>
          <w:b/>
          <w:bCs/>
          <w:sz w:val="22"/>
          <w:szCs w:val="22"/>
          <w:lang w:val="en-CA"/>
        </w:rPr>
        <w:t>Clinical Treatment Approaches for Radiculopathy</w:t>
      </w:r>
    </w:p>
    <w:p w14:paraId="7DF2EF9F" w14:textId="77777777" w:rsidR="00F21C0B" w:rsidRDefault="00DC4DDA" w:rsidP="00F21C0B">
      <w:pPr>
        <w:pStyle w:val="ListParagraph"/>
        <w:numPr>
          <w:ilvl w:val="0"/>
          <w:numId w:val="9"/>
        </w:numPr>
        <w:rPr>
          <w:sz w:val="22"/>
          <w:szCs w:val="22"/>
          <w:lang w:val="en-CA"/>
        </w:rPr>
      </w:pPr>
      <w:r w:rsidRPr="00F21C0B">
        <w:rPr>
          <w:sz w:val="22"/>
          <w:szCs w:val="22"/>
          <w:lang w:val="en-CA"/>
        </w:rPr>
        <w:t>The panel</w:t>
      </w:r>
      <w:r w:rsidR="00BA559F" w:rsidRPr="00F21C0B">
        <w:rPr>
          <w:sz w:val="22"/>
          <w:szCs w:val="22"/>
          <w:lang w:val="en-CA"/>
        </w:rPr>
        <w:t xml:space="preserve"> discussed various clinical examples of patient treatment, including cases where flexion exercises helped patients with radiculopathy and how extension responders sometimes benefit from adding flexion movements. </w:t>
      </w:r>
    </w:p>
    <w:p w14:paraId="7D714AC5" w14:textId="77777777" w:rsidR="00F21C0B" w:rsidRDefault="00DC4DDA" w:rsidP="00F21C0B">
      <w:pPr>
        <w:pStyle w:val="ListParagraph"/>
        <w:numPr>
          <w:ilvl w:val="0"/>
          <w:numId w:val="9"/>
        </w:numPr>
        <w:rPr>
          <w:sz w:val="22"/>
          <w:szCs w:val="22"/>
          <w:lang w:val="en-CA"/>
        </w:rPr>
      </w:pPr>
      <w:r w:rsidRPr="00F21C0B">
        <w:rPr>
          <w:sz w:val="22"/>
          <w:szCs w:val="22"/>
          <w:lang w:val="en-CA"/>
        </w:rPr>
        <w:t>They</w:t>
      </w:r>
      <w:r w:rsidR="00BA559F" w:rsidRPr="00F21C0B">
        <w:rPr>
          <w:sz w:val="22"/>
          <w:szCs w:val="22"/>
          <w:lang w:val="en-CA"/>
        </w:rPr>
        <w:t xml:space="preserve"> shared a specific case study of a patient with a 4-month shifted condition who showed rapid centralization when treated with shift correction in the lying position rather than the traditional supine position. </w:t>
      </w:r>
    </w:p>
    <w:p w14:paraId="0C47033D" w14:textId="5E25029A" w:rsidR="00BA559F" w:rsidRPr="00F21C0B" w:rsidRDefault="00BA559F" w:rsidP="00F21C0B">
      <w:pPr>
        <w:pStyle w:val="ListParagraph"/>
        <w:numPr>
          <w:ilvl w:val="0"/>
          <w:numId w:val="9"/>
        </w:numPr>
        <w:rPr>
          <w:sz w:val="22"/>
          <w:szCs w:val="22"/>
          <w:lang w:val="en-CA"/>
        </w:rPr>
      </w:pPr>
      <w:r w:rsidRPr="00F21C0B">
        <w:rPr>
          <w:sz w:val="22"/>
          <w:szCs w:val="22"/>
          <w:lang w:val="en-CA"/>
        </w:rPr>
        <w:t>Th</w:t>
      </w:r>
      <w:r w:rsidR="00DC4DDA" w:rsidRPr="00F21C0B">
        <w:rPr>
          <w:sz w:val="22"/>
          <w:szCs w:val="22"/>
          <w:lang w:val="en-CA"/>
        </w:rPr>
        <w:t>e panel</w:t>
      </w:r>
      <w:r w:rsidRPr="00F21C0B">
        <w:rPr>
          <w:sz w:val="22"/>
          <w:szCs w:val="22"/>
          <w:lang w:val="en-CA"/>
        </w:rPr>
        <w:t xml:space="preserve"> emphasized the importance of finding movements that do not worsen symptoms when treating patients with </w:t>
      </w:r>
      <w:r w:rsidR="00F21C0B">
        <w:rPr>
          <w:sz w:val="22"/>
          <w:szCs w:val="22"/>
          <w:lang w:val="en-CA"/>
        </w:rPr>
        <w:t>“</w:t>
      </w:r>
      <w:r w:rsidRPr="00F21C0B">
        <w:rPr>
          <w:sz w:val="22"/>
          <w:szCs w:val="22"/>
          <w:lang w:val="en-CA"/>
        </w:rPr>
        <w:t>hot</w:t>
      </w:r>
      <w:r w:rsidR="00F21C0B">
        <w:rPr>
          <w:sz w:val="22"/>
          <w:szCs w:val="22"/>
          <w:lang w:val="en-CA"/>
        </w:rPr>
        <w:t>”</w:t>
      </w:r>
      <w:r w:rsidRPr="00F21C0B">
        <w:rPr>
          <w:sz w:val="22"/>
          <w:szCs w:val="22"/>
          <w:lang w:val="en-CA"/>
        </w:rPr>
        <w:t xml:space="preserve"> cervical spine nerve pain, as these movements can provide relief within 48 hours.</w:t>
      </w:r>
    </w:p>
    <w:p w14:paraId="3D960F4E" w14:textId="77777777" w:rsidR="00DC4DDA" w:rsidRPr="00F21C0B" w:rsidRDefault="00DC4DDA" w:rsidP="00BA559F">
      <w:pPr>
        <w:rPr>
          <w:sz w:val="22"/>
          <w:szCs w:val="22"/>
          <w:lang w:val="en-CA"/>
        </w:rPr>
      </w:pPr>
    </w:p>
    <w:p w14:paraId="1B53F096" w14:textId="77777777" w:rsidR="00BA559F" w:rsidRPr="00F21C0B" w:rsidRDefault="00BA559F" w:rsidP="00BA559F">
      <w:pPr>
        <w:rPr>
          <w:b/>
          <w:bCs/>
          <w:sz w:val="22"/>
          <w:szCs w:val="22"/>
          <w:lang w:val="en-CA"/>
        </w:rPr>
      </w:pPr>
      <w:r w:rsidRPr="00F21C0B">
        <w:rPr>
          <w:b/>
          <w:bCs/>
          <w:sz w:val="22"/>
          <w:szCs w:val="22"/>
          <w:lang w:val="en-CA"/>
        </w:rPr>
        <w:t>Hip-Spine Pain Treatment Strategies</w:t>
      </w:r>
    </w:p>
    <w:p w14:paraId="6F17BE0F" w14:textId="77777777" w:rsidR="00F21C0B" w:rsidRDefault="00DC4DDA" w:rsidP="00F21C0B">
      <w:pPr>
        <w:pStyle w:val="ListParagraph"/>
        <w:numPr>
          <w:ilvl w:val="0"/>
          <w:numId w:val="10"/>
        </w:numPr>
        <w:rPr>
          <w:sz w:val="22"/>
          <w:szCs w:val="22"/>
          <w:lang w:val="en-CA"/>
        </w:rPr>
      </w:pPr>
      <w:r w:rsidRPr="00F21C0B">
        <w:rPr>
          <w:sz w:val="22"/>
          <w:szCs w:val="22"/>
          <w:lang w:val="en-CA"/>
        </w:rPr>
        <w:t>The panel</w:t>
      </w:r>
      <w:r w:rsidR="00BA559F" w:rsidRPr="00F21C0B">
        <w:rPr>
          <w:sz w:val="22"/>
          <w:szCs w:val="22"/>
          <w:lang w:val="en-CA"/>
        </w:rPr>
        <w:t xml:space="preserve"> discussed strategies for treating patients with nerve and spinal issues, emphasizing the importance of assessing both the spine and peripheral joints. </w:t>
      </w:r>
    </w:p>
    <w:p w14:paraId="3444BCD1" w14:textId="77777777" w:rsidR="00F21C0B" w:rsidRDefault="00DC4DDA" w:rsidP="00F21C0B">
      <w:pPr>
        <w:pStyle w:val="ListParagraph"/>
        <w:numPr>
          <w:ilvl w:val="0"/>
          <w:numId w:val="10"/>
        </w:numPr>
        <w:rPr>
          <w:sz w:val="22"/>
          <w:szCs w:val="22"/>
          <w:lang w:val="en-CA"/>
        </w:rPr>
      </w:pPr>
      <w:r w:rsidRPr="00F21C0B">
        <w:rPr>
          <w:sz w:val="22"/>
          <w:szCs w:val="22"/>
          <w:lang w:val="en-CA"/>
        </w:rPr>
        <w:t>They</w:t>
      </w:r>
      <w:r w:rsidR="00BA559F" w:rsidRPr="00F21C0B">
        <w:rPr>
          <w:sz w:val="22"/>
          <w:szCs w:val="22"/>
          <w:lang w:val="en-CA"/>
        </w:rPr>
        <w:t xml:space="preserve"> shared specific cases where treating the hip improved both lumbar spine and shoulder conditions, highlighting the value of screening hip range of motion in patients with lower back pain. </w:t>
      </w:r>
    </w:p>
    <w:p w14:paraId="7E417185" w14:textId="7CE33A69" w:rsidR="00BA559F" w:rsidRPr="00F21C0B" w:rsidRDefault="00DC4DDA" w:rsidP="00F21C0B">
      <w:pPr>
        <w:pStyle w:val="ListParagraph"/>
        <w:numPr>
          <w:ilvl w:val="0"/>
          <w:numId w:val="10"/>
        </w:numPr>
        <w:rPr>
          <w:sz w:val="22"/>
          <w:szCs w:val="22"/>
          <w:lang w:val="en-CA"/>
        </w:rPr>
      </w:pPr>
      <w:r w:rsidRPr="00F21C0B">
        <w:rPr>
          <w:sz w:val="22"/>
          <w:szCs w:val="22"/>
          <w:lang w:val="en-CA"/>
        </w:rPr>
        <w:t>The panel</w:t>
      </w:r>
      <w:r w:rsidR="00BA559F" w:rsidRPr="00F21C0B">
        <w:rPr>
          <w:sz w:val="22"/>
          <w:szCs w:val="22"/>
          <w:lang w:val="en-CA"/>
        </w:rPr>
        <w:t xml:space="preserve"> also noted that elderly patients with hip arthritis may not realize their hip pain </w:t>
      </w:r>
      <w:r w:rsidRPr="00F21C0B">
        <w:rPr>
          <w:sz w:val="22"/>
          <w:szCs w:val="22"/>
          <w:lang w:val="en-CA"/>
        </w:rPr>
        <w:t xml:space="preserve">is </w:t>
      </w:r>
      <w:r w:rsidR="00BA559F" w:rsidRPr="00F21C0B">
        <w:rPr>
          <w:sz w:val="22"/>
          <w:szCs w:val="22"/>
          <w:lang w:val="en-CA"/>
        </w:rPr>
        <w:t xml:space="preserve">due to compensatory spinal </w:t>
      </w:r>
      <w:proofErr w:type="gramStart"/>
      <w:r w:rsidR="00BA559F" w:rsidRPr="00F21C0B">
        <w:rPr>
          <w:sz w:val="22"/>
          <w:szCs w:val="22"/>
          <w:lang w:val="en-CA"/>
        </w:rPr>
        <w:t>pain, and</w:t>
      </w:r>
      <w:proofErr w:type="gramEnd"/>
      <w:r w:rsidR="00BA559F" w:rsidRPr="00F21C0B">
        <w:rPr>
          <w:sz w:val="22"/>
          <w:szCs w:val="22"/>
          <w:lang w:val="en-CA"/>
        </w:rPr>
        <w:t xml:space="preserve"> recommended focusing on loss of extension and flexion as key baselines in these populations.</w:t>
      </w:r>
    </w:p>
    <w:p w14:paraId="74E2697D" w14:textId="77777777" w:rsidR="00DC4DDA" w:rsidRPr="00F21C0B" w:rsidRDefault="00DC4DDA" w:rsidP="00BA559F">
      <w:pPr>
        <w:rPr>
          <w:sz w:val="22"/>
          <w:szCs w:val="22"/>
          <w:lang w:val="en-CA"/>
        </w:rPr>
      </w:pPr>
    </w:p>
    <w:p w14:paraId="2FAD0303" w14:textId="77777777" w:rsidR="00BA559F" w:rsidRPr="00F21C0B" w:rsidRDefault="00BA559F" w:rsidP="00BA559F">
      <w:pPr>
        <w:rPr>
          <w:b/>
          <w:bCs/>
          <w:sz w:val="22"/>
          <w:szCs w:val="22"/>
          <w:lang w:val="en-CA"/>
        </w:rPr>
      </w:pPr>
      <w:r w:rsidRPr="00F21C0B">
        <w:rPr>
          <w:b/>
          <w:bCs/>
          <w:sz w:val="22"/>
          <w:szCs w:val="22"/>
          <w:lang w:val="en-CA"/>
        </w:rPr>
        <w:t>Neck Pain Treatment Insights</w:t>
      </w:r>
    </w:p>
    <w:p w14:paraId="7B417E90" w14:textId="77777777" w:rsidR="00F21C0B" w:rsidRDefault="00DC4DDA" w:rsidP="00F21C0B">
      <w:pPr>
        <w:pStyle w:val="ListParagraph"/>
        <w:numPr>
          <w:ilvl w:val="0"/>
          <w:numId w:val="11"/>
        </w:numPr>
        <w:rPr>
          <w:sz w:val="22"/>
          <w:szCs w:val="22"/>
          <w:lang w:val="en-CA"/>
        </w:rPr>
      </w:pPr>
      <w:r w:rsidRPr="00F21C0B">
        <w:rPr>
          <w:sz w:val="22"/>
          <w:szCs w:val="22"/>
          <w:lang w:val="en-CA"/>
        </w:rPr>
        <w:t>The panel</w:t>
      </w:r>
      <w:r w:rsidR="00BA559F" w:rsidRPr="00F21C0B">
        <w:rPr>
          <w:sz w:val="22"/>
          <w:szCs w:val="22"/>
          <w:lang w:val="en-CA"/>
        </w:rPr>
        <w:t xml:space="preserve"> shared clinical insights and personal experiences about treating patients with neck pain, emphasizing the importance of ruling out cervical spine issues before diagnosing shoulder problems and the value of testing in potentially provocative directions. </w:t>
      </w:r>
    </w:p>
    <w:p w14:paraId="23F5FC89" w14:textId="77777777" w:rsidR="00F21C0B" w:rsidRDefault="00F21C0B" w:rsidP="00F21C0B">
      <w:pPr>
        <w:pStyle w:val="ListParagraph"/>
        <w:numPr>
          <w:ilvl w:val="0"/>
          <w:numId w:val="11"/>
        </w:numPr>
        <w:rPr>
          <w:sz w:val="22"/>
          <w:szCs w:val="22"/>
          <w:lang w:val="en-CA"/>
        </w:rPr>
      </w:pPr>
      <w:r>
        <w:rPr>
          <w:sz w:val="22"/>
          <w:szCs w:val="22"/>
          <w:lang w:val="en-CA"/>
        </w:rPr>
        <w:t xml:space="preserve">They </w:t>
      </w:r>
      <w:r w:rsidR="00BA559F" w:rsidRPr="00F21C0B">
        <w:rPr>
          <w:sz w:val="22"/>
          <w:szCs w:val="22"/>
          <w:lang w:val="en-CA"/>
        </w:rPr>
        <w:t xml:space="preserve">discussed learning from mistakes, including a story about misinterpreting a patient's pain response during a demonstration and the importance of downplaying apparent successes to avoid overconfidence. </w:t>
      </w:r>
    </w:p>
    <w:p w14:paraId="1B596222" w14:textId="66A6B18B" w:rsidR="00BA559F" w:rsidRPr="00F21C0B" w:rsidRDefault="00BA559F" w:rsidP="00F21C0B">
      <w:pPr>
        <w:pStyle w:val="ListParagraph"/>
        <w:numPr>
          <w:ilvl w:val="0"/>
          <w:numId w:val="11"/>
        </w:numPr>
        <w:rPr>
          <w:sz w:val="22"/>
          <w:szCs w:val="22"/>
          <w:lang w:val="en-CA"/>
        </w:rPr>
      </w:pPr>
      <w:r w:rsidRPr="00F21C0B">
        <w:rPr>
          <w:sz w:val="22"/>
          <w:szCs w:val="22"/>
          <w:lang w:val="en-CA"/>
        </w:rPr>
        <w:t>The discussion included questions about side-lying retraction exercises and how shoulder movements can affect cervical spine mechanics, with participants sharing clinical tips and cautioning about diagnosing stenosis in patients with walking vs. sitting symptoms.</w:t>
      </w:r>
    </w:p>
    <w:p w14:paraId="2ADFE7C7" w14:textId="77777777" w:rsidR="00DC4DDA" w:rsidRPr="00F21C0B" w:rsidRDefault="00DC4DDA" w:rsidP="00BA559F">
      <w:pPr>
        <w:rPr>
          <w:sz w:val="22"/>
          <w:szCs w:val="22"/>
          <w:lang w:val="en-CA"/>
        </w:rPr>
      </w:pPr>
    </w:p>
    <w:p w14:paraId="4F16763C" w14:textId="5BFA60AE" w:rsidR="00BA559F" w:rsidRPr="00F21C0B" w:rsidRDefault="00BA559F" w:rsidP="00BA559F">
      <w:pPr>
        <w:rPr>
          <w:b/>
          <w:bCs/>
          <w:sz w:val="22"/>
          <w:szCs w:val="22"/>
          <w:lang w:val="en-CA"/>
        </w:rPr>
      </w:pPr>
      <w:r w:rsidRPr="00F21C0B">
        <w:rPr>
          <w:b/>
          <w:bCs/>
          <w:sz w:val="22"/>
          <w:szCs w:val="22"/>
          <w:lang w:val="en-CA"/>
        </w:rPr>
        <w:t>Clinical Reasoning for Directional Preference</w:t>
      </w:r>
    </w:p>
    <w:p w14:paraId="3FBD9F0F" w14:textId="77777777" w:rsidR="00F21C0B" w:rsidRDefault="00DC4DDA" w:rsidP="00F21C0B">
      <w:pPr>
        <w:pStyle w:val="ListParagraph"/>
        <w:numPr>
          <w:ilvl w:val="0"/>
          <w:numId w:val="12"/>
        </w:numPr>
        <w:rPr>
          <w:sz w:val="22"/>
          <w:szCs w:val="22"/>
          <w:lang w:val="en-CA"/>
        </w:rPr>
      </w:pPr>
      <w:r w:rsidRPr="00F21C0B">
        <w:rPr>
          <w:sz w:val="22"/>
          <w:szCs w:val="22"/>
          <w:lang w:val="en-CA"/>
        </w:rPr>
        <w:t>The panel</w:t>
      </w:r>
      <w:r w:rsidR="00BA559F" w:rsidRPr="00F21C0B">
        <w:rPr>
          <w:sz w:val="22"/>
          <w:szCs w:val="22"/>
          <w:lang w:val="en-CA"/>
        </w:rPr>
        <w:t xml:space="preserve"> discussed clinical reasoning exercises for treating patients with unclear directional preferences, emphasizing the importance of considering multiple factors beyond initial assessments. </w:t>
      </w:r>
    </w:p>
    <w:p w14:paraId="5A01A3DF" w14:textId="77777777" w:rsidR="00F21C0B" w:rsidRDefault="00DC4DDA" w:rsidP="00F21C0B">
      <w:pPr>
        <w:pStyle w:val="ListParagraph"/>
        <w:numPr>
          <w:ilvl w:val="0"/>
          <w:numId w:val="12"/>
        </w:numPr>
        <w:rPr>
          <w:sz w:val="22"/>
          <w:szCs w:val="22"/>
          <w:lang w:val="en-CA"/>
        </w:rPr>
      </w:pPr>
      <w:r w:rsidRPr="00F21C0B">
        <w:rPr>
          <w:sz w:val="22"/>
          <w:szCs w:val="22"/>
          <w:lang w:val="en-CA"/>
        </w:rPr>
        <w:t>The panel</w:t>
      </w:r>
      <w:r w:rsidR="00BA559F" w:rsidRPr="00F21C0B">
        <w:rPr>
          <w:sz w:val="22"/>
          <w:szCs w:val="22"/>
          <w:lang w:val="en-CA"/>
        </w:rPr>
        <w:t xml:space="preserve"> explained how to use flexion and extension techniques to create self-diagnostician skills in patients, following Robin McKenzie's approach of reassessment after trying different movements. </w:t>
      </w:r>
    </w:p>
    <w:p w14:paraId="2BC2CB5E" w14:textId="688BE5F4" w:rsidR="00BA559F" w:rsidRPr="00F21C0B" w:rsidRDefault="00BA559F" w:rsidP="00F21C0B">
      <w:pPr>
        <w:pStyle w:val="ListParagraph"/>
        <w:numPr>
          <w:ilvl w:val="0"/>
          <w:numId w:val="12"/>
        </w:numPr>
        <w:rPr>
          <w:sz w:val="22"/>
          <w:szCs w:val="22"/>
          <w:lang w:val="en-CA"/>
        </w:rPr>
      </w:pPr>
      <w:r w:rsidRPr="00F21C0B">
        <w:rPr>
          <w:sz w:val="22"/>
          <w:szCs w:val="22"/>
          <w:lang w:val="en-CA"/>
        </w:rPr>
        <w:t xml:space="preserve">The discussion also covered using shoulder movements to influence thoracic and cervical spine </w:t>
      </w:r>
      <w:proofErr w:type="gramStart"/>
      <w:r w:rsidRPr="00F21C0B">
        <w:rPr>
          <w:sz w:val="22"/>
          <w:szCs w:val="22"/>
          <w:lang w:val="en-CA"/>
        </w:rPr>
        <w:t>alignment, and</w:t>
      </w:r>
      <w:proofErr w:type="gramEnd"/>
      <w:r w:rsidRPr="00F21C0B">
        <w:rPr>
          <w:sz w:val="22"/>
          <w:szCs w:val="22"/>
          <w:lang w:val="en-CA"/>
        </w:rPr>
        <w:t xml:space="preserve"> concluded with insights about radicular syndrome without directional preference, including considerations around tissue reactivity and inflammation levels.</w:t>
      </w:r>
    </w:p>
    <w:p w14:paraId="005F1D79" w14:textId="77777777" w:rsidR="00DC4DDA" w:rsidRPr="00F21C0B" w:rsidRDefault="00DC4DDA" w:rsidP="00BA559F">
      <w:pPr>
        <w:rPr>
          <w:sz w:val="22"/>
          <w:szCs w:val="22"/>
          <w:lang w:val="en-CA"/>
        </w:rPr>
      </w:pPr>
    </w:p>
    <w:p w14:paraId="6B009A61" w14:textId="77777777" w:rsidR="00BA559F" w:rsidRPr="00F21C0B" w:rsidRDefault="00BA559F" w:rsidP="00BA559F">
      <w:pPr>
        <w:rPr>
          <w:b/>
          <w:bCs/>
          <w:sz w:val="22"/>
          <w:szCs w:val="22"/>
          <w:lang w:val="en-CA"/>
        </w:rPr>
      </w:pPr>
      <w:r w:rsidRPr="00F21C0B">
        <w:rPr>
          <w:b/>
          <w:bCs/>
          <w:sz w:val="22"/>
          <w:szCs w:val="22"/>
          <w:lang w:val="en-CA"/>
        </w:rPr>
        <w:t>Radicular Syndrome Treatment Approaches</w:t>
      </w:r>
    </w:p>
    <w:p w14:paraId="3C85E484" w14:textId="77777777" w:rsidR="00F21C0B" w:rsidRDefault="00DC4DDA" w:rsidP="00F21C0B">
      <w:pPr>
        <w:pStyle w:val="ListParagraph"/>
        <w:numPr>
          <w:ilvl w:val="0"/>
          <w:numId w:val="13"/>
        </w:numPr>
        <w:rPr>
          <w:sz w:val="22"/>
          <w:szCs w:val="22"/>
          <w:lang w:val="en-CA"/>
        </w:rPr>
      </w:pPr>
      <w:r w:rsidRPr="00F21C0B">
        <w:rPr>
          <w:sz w:val="22"/>
          <w:szCs w:val="22"/>
          <w:lang w:val="en-CA"/>
        </w:rPr>
        <w:t>Hans</w:t>
      </w:r>
      <w:r w:rsidR="00BA559F" w:rsidRPr="00F21C0B">
        <w:rPr>
          <w:sz w:val="22"/>
          <w:szCs w:val="22"/>
          <w:lang w:val="en-CA"/>
        </w:rPr>
        <w:t xml:space="preserve"> </w:t>
      </w:r>
      <w:r w:rsidR="00CB47D4" w:rsidRPr="00F21C0B">
        <w:rPr>
          <w:sz w:val="22"/>
          <w:szCs w:val="22"/>
          <w:lang w:val="en-CA"/>
        </w:rPr>
        <w:t xml:space="preserve">/Jose </w:t>
      </w:r>
      <w:r w:rsidR="00BA559F" w:rsidRPr="00F21C0B">
        <w:rPr>
          <w:sz w:val="22"/>
          <w:szCs w:val="22"/>
          <w:lang w:val="en-CA"/>
        </w:rPr>
        <w:t xml:space="preserve">discussed alternative treatment approaches for patients with radicular syndrome, including using flexion-rotation with lateral flexion and treating patients in half-sitting positions when they cannot lie flat. </w:t>
      </w:r>
    </w:p>
    <w:p w14:paraId="4A53E7EA" w14:textId="77777777" w:rsidR="00F21C0B" w:rsidRDefault="00CB47D4" w:rsidP="00F21C0B">
      <w:pPr>
        <w:pStyle w:val="ListParagraph"/>
        <w:numPr>
          <w:ilvl w:val="0"/>
          <w:numId w:val="13"/>
        </w:numPr>
        <w:rPr>
          <w:sz w:val="22"/>
          <w:szCs w:val="22"/>
          <w:lang w:val="en-CA"/>
        </w:rPr>
      </w:pPr>
      <w:r w:rsidRPr="00F21C0B">
        <w:rPr>
          <w:sz w:val="22"/>
          <w:szCs w:val="22"/>
          <w:lang w:val="en-CA"/>
        </w:rPr>
        <w:t>Hans</w:t>
      </w:r>
      <w:r w:rsidR="00BA559F" w:rsidRPr="00F21C0B">
        <w:rPr>
          <w:sz w:val="22"/>
          <w:szCs w:val="22"/>
          <w:lang w:val="en-CA"/>
        </w:rPr>
        <w:t xml:space="preserve"> presented a diagram showing that 80% of radicular syndrome patients recover on their own within 3-6 months, but those with persistent pain beyond 16 weeks have only a 10% chance of recovery without intervention. </w:t>
      </w:r>
    </w:p>
    <w:p w14:paraId="112F7526" w14:textId="779C82D4" w:rsidR="00BA559F" w:rsidRPr="00F21C0B" w:rsidRDefault="00CB47D4" w:rsidP="00F21C0B">
      <w:pPr>
        <w:pStyle w:val="ListParagraph"/>
        <w:numPr>
          <w:ilvl w:val="0"/>
          <w:numId w:val="13"/>
        </w:numPr>
        <w:rPr>
          <w:sz w:val="22"/>
          <w:szCs w:val="22"/>
          <w:lang w:val="en-CA"/>
        </w:rPr>
      </w:pPr>
      <w:r w:rsidRPr="00F21C0B">
        <w:rPr>
          <w:sz w:val="22"/>
          <w:szCs w:val="22"/>
          <w:lang w:val="en-CA"/>
        </w:rPr>
        <w:t>Hans</w:t>
      </w:r>
      <w:r w:rsidR="00BA559F" w:rsidRPr="00F21C0B">
        <w:rPr>
          <w:sz w:val="22"/>
          <w:szCs w:val="22"/>
          <w:lang w:val="en-CA"/>
        </w:rPr>
        <w:t xml:space="preserve"> also shared a clinical prediction rule for identifying inflammation in radicular syndrome patients, which has a 92% predictive accuracy when four specific criteria are positive.</w:t>
      </w:r>
    </w:p>
    <w:p w14:paraId="0A2E7E27" w14:textId="77777777" w:rsidR="00F21C0B" w:rsidRDefault="00CB47D4" w:rsidP="00F21C0B">
      <w:pPr>
        <w:pStyle w:val="ListParagraph"/>
        <w:numPr>
          <w:ilvl w:val="0"/>
          <w:numId w:val="13"/>
        </w:numPr>
        <w:rPr>
          <w:sz w:val="22"/>
          <w:szCs w:val="22"/>
          <w:lang w:val="en-CA"/>
        </w:rPr>
      </w:pPr>
      <w:r w:rsidRPr="00F21C0B">
        <w:rPr>
          <w:sz w:val="22"/>
          <w:szCs w:val="22"/>
          <w:lang w:val="en-CA"/>
        </w:rPr>
        <w:t>Jose</w:t>
      </w:r>
      <w:r w:rsidR="00BA559F" w:rsidRPr="00F21C0B">
        <w:rPr>
          <w:sz w:val="22"/>
          <w:szCs w:val="22"/>
          <w:lang w:val="en-CA"/>
        </w:rPr>
        <w:t xml:space="preserve"> discussed his clinical approach to treating radicular syndrome, emphasizing the importance of using straight leg raise tests as a reference and considering multiple structures when applying loading strategies. </w:t>
      </w:r>
    </w:p>
    <w:p w14:paraId="07441F03" w14:textId="77777777" w:rsidR="00F21C0B" w:rsidRDefault="00BA559F" w:rsidP="00F21C0B">
      <w:pPr>
        <w:pStyle w:val="ListParagraph"/>
        <w:numPr>
          <w:ilvl w:val="0"/>
          <w:numId w:val="13"/>
        </w:numPr>
        <w:rPr>
          <w:sz w:val="22"/>
          <w:szCs w:val="22"/>
          <w:lang w:val="en-CA"/>
        </w:rPr>
      </w:pPr>
      <w:r w:rsidRPr="00F21C0B">
        <w:rPr>
          <w:sz w:val="22"/>
          <w:szCs w:val="22"/>
          <w:lang w:val="en-CA"/>
        </w:rPr>
        <w:t xml:space="preserve">He explained his development of mechanical unloading techniques for nerve root complexes, particularly for high tissue reactivity cases where patients should avoid movements that could further stress the affected area. </w:t>
      </w:r>
    </w:p>
    <w:p w14:paraId="017606A8" w14:textId="34AA607B" w:rsidR="00BA559F" w:rsidRPr="00F21C0B" w:rsidRDefault="00BA559F" w:rsidP="00F21C0B">
      <w:pPr>
        <w:pStyle w:val="ListParagraph"/>
        <w:numPr>
          <w:ilvl w:val="0"/>
          <w:numId w:val="13"/>
        </w:numPr>
        <w:rPr>
          <w:sz w:val="22"/>
          <w:szCs w:val="22"/>
          <w:lang w:val="en-CA"/>
        </w:rPr>
      </w:pPr>
      <w:r w:rsidRPr="00F21C0B">
        <w:rPr>
          <w:sz w:val="22"/>
          <w:szCs w:val="22"/>
          <w:lang w:val="en-CA"/>
        </w:rPr>
        <w:t>The discussion included insights from research on disc positioning and the role of facets and foramen in treatment approaches.</w:t>
      </w:r>
    </w:p>
    <w:p w14:paraId="04F4D0C7" w14:textId="77777777" w:rsidR="00F21C0B" w:rsidRDefault="00CB47D4" w:rsidP="00F21C0B">
      <w:pPr>
        <w:pStyle w:val="ListParagraph"/>
        <w:numPr>
          <w:ilvl w:val="0"/>
          <w:numId w:val="13"/>
        </w:numPr>
        <w:rPr>
          <w:sz w:val="22"/>
          <w:szCs w:val="22"/>
          <w:lang w:val="en-CA"/>
        </w:rPr>
      </w:pPr>
      <w:r w:rsidRPr="00F21C0B">
        <w:rPr>
          <w:sz w:val="22"/>
          <w:szCs w:val="22"/>
          <w:lang w:val="en-CA"/>
        </w:rPr>
        <w:t>Jose</w:t>
      </w:r>
      <w:r w:rsidR="00BA559F" w:rsidRPr="00F21C0B">
        <w:rPr>
          <w:sz w:val="22"/>
          <w:szCs w:val="22"/>
          <w:lang w:val="en-CA"/>
        </w:rPr>
        <w:t xml:space="preserve"> discussed a bottom-up approach for treating radicular syndrome, explaining how to progress patients from acute to sub-acute phases through controlled loading and mobilization techniques. </w:t>
      </w:r>
    </w:p>
    <w:p w14:paraId="1C7AE8B9" w14:textId="77777777" w:rsidR="00F21C0B" w:rsidRDefault="00BA559F" w:rsidP="00F21C0B">
      <w:pPr>
        <w:pStyle w:val="ListParagraph"/>
        <w:numPr>
          <w:ilvl w:val="0"/>
          <w:numId w:val="13"/>
        </w:numPr>
        <w:rPr>
          <w:sz w:val="22"/>
          <w:szCs w:val="22"/>
          <w:lang w:val="en-CA"/>
        </w:rPr>
      </w:pPr>
      <w:r w:rsidRPr="00F21C0B">
        <w:rPr>
          <w:sz w:val="22"/>
          <w:szCs w:val="22"/>
          <w:lang w:val="en-CA"/>
        </w:rPr>
        <w:t xml:space="preserve">He described using specific positioning and tension gradients, including abduction, rotation, and lateral flexion exercises, with progression criteria based on symptom frequency, functional ability, and straight leg raise asymmetry. </w:t>
      </w:r>
    </w:p>
    <w:p w14:paraId="57E83229" w14:textId="3EFA1EC3" w:rsidR="00BA559F" w:rsidRPr="00F21C0B" w:rsidRDefault="00BA559F" w:rsidP="00F21C0B">
      <w:pPr>
        <w:pStyle w:val="ListParagraph"/>
        <w:numPr>
          <w:ilvl w:val="0"/>
          <w:numId w:val="13"/>
        </w:numPr>
        <w:rPr>
          <w:sz w:val="22"/>
          <w:szCs w:val="22"/>
          <w:lang w:val="en-CA"/>
        </w:rPr>
      </w:pPr>
      <w:r w:rsidRPr="00F21C0B">
        <w:rPr>
          <w:sz w:val="22"/>
          <w:szCs w:val="22"/>
          <w:lang w:val="en-CA"/>
        </w:rPr>
        <w:t xml:space="preserve">The discussion also covered timing considerations for epidural steroid injections and exercise prescription duration, with </w:t>
      </w:r>
      <w:r w:rsidR="00CB47D4" w:rsidRPr="00F21C0B">
        <w:rPr>
          <w:sz w:val="22"/>
          <w:szCs w:val="22"/>
          <w:lang w:val="en-CA"/>
        </w:rPr>
        <w:t>Jose</w:t>
      </w:r>
      <w:r w:rsidRPr="00F21C0B">
        <w:rPr>
          <w:sz w:val="22"/>
          <w:szCs w:val="22"/>
          <w:lang w:val="en-CA"/>
        </w:rPr>
        <w:t xml:space="preserve"> noting that patients typically show improvement within two to three days and can be discharged within two months when following this treatment approach.</w:t>
      </w:r>
    </w:p>
    <w:p w14:paraId="240351ED" w14:textId="77777777" w:rsidR="00155F66" w:rsidRPr="00F21C0B" w:rsidRDefault="00155F66">
      <w:pPr>
        <w:rPr>
          <w:sz w:val="22"/>
          <w:szCs w:val="22"/>
        </w:rPr>
      </w:pPr>
    </w:p>
    <w:sectPr w:rsidR="00155F66" w:rsidRPr="00F21C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2771CE"/>
    <w:multiLevelType w:val="hybridMultilevel"/>
    <w:tmpl w:val="7F427F4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D420E"/>
    <w:multiLevelType w:val="hybridMultilevel"/>
    <w:tmpl w:val="CD166B3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257C3"/>
    <w:multiLevelType w:val="hybridMultilevel"/>
    <w:tmpl w:val="45C0342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C2980"/>
    <w:multiLevelType w:val="hybridMultilevel"/>
    <w:tmpl w:val="7DFA880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05FEB"/>
    <w:multiLevelType w:val="multilevel"/>
    <w:tmpl w:val="F9F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37960"/>
    <w:multiLevelType w:val="hybridMultilevel"/>
    <w:tmpl w:val="5EE028F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74ABC"/>
    <w:multiLevelType w:val="multilevel"/>
    <w:tmpl w:val="C86A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24472"/>
    <w:multiLevelType w:val="hybridMultilevel"/>
    <w:tmpl w:val="1CD6A1C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E01AE"/>
    <w:multiLevelType w:val="hybridMultilevel"/>
    <w:tmpl w:val="4DC4DD9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D5EC9"/>
    <w:multiLevelType w:val="hybridMultilevel"/>
    <w:tmpl w:val="18908C6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07407"/>
    <w:multiLevelType w:val="hybridMultilevel"/>
    <w:tmpl w:val="09623A0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E0811"/>
    <w:multiLevelType w:val="multilevel"/>
    <w:tmpl w:val="387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77A28"/>
    <w:multiLevelType w:val="multilevel"/>
    <w:tmpl w:val="4732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860194">
    <w:abstractNumId w:val="6"/>
  </w:num>
  <w:num w:numId="2" w16cid:durableId="1865165137">
    <w:abstractNumId w:val="12"/>
  </w:num>
  <w:num w:numId="3" w16cid:durableId="1061060516">
    <w:abstractNumId w:val="4"/>
  </w:num>
  <w:num w:numId="4" w16cid:durableId="1960645698">
    <w:abstractNumId w:val="11"/>
  </w:num>
  <w:num w:numId="5" w16cid:durableId="1428118561">
    <w:abstractNumId w:val="5"/>
  </w:num>
  <w:num w:numId="6" w16cid:durableId="1596010050">
    <w:abstractNumId w:val="9"/>
  </w:num>
  <w:num w:numId="7" w16cid:durableId="565261365">
    <w:abstractNumId w:val="0"/>
  </w:num>
  <w:num w:numId="8" w16cid:durableId="412818990">
    <w:abstractNumId w:val="10"/>
  </w:num>
  <w:num w:numId="9" w16cid:durableId="295717699">
    <w:abstractNumId w:val="3"/>
  </w:num>
  <w:num w:numId="10" w16cid:durableId="2141875849">
    <w:abstractNumId w:val="8"/>
  </w:num>
  <w:num w:numId="11" w16cid:durableId="1812749972">
    <w:abstractNumId w:val="2"/>
  </w:num>
  <w:num w:numId="12" w16cid:durableId="854805810">
    <w:abstractNumId w:val="7"/>
  </w:num>
  <w:num w:numId="13" w16cid:durableId="161875334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9F"/>
    <w:rsid w:val="00155F66"/>
    <w:rsid w:val="00176E2E"/>
    <w:rsid w:val="00321566"/>
    <w:rsid w:val="003710B3"/>
    <w:rsid w:val="00397D78"/>
    <w:rsid w:val="003C10FB"/>
    <w:rsid w:val="00414078"/>
    <w:rsid w:val="00664BFF"/>
    <w:rsid w:val="006B6644"/>
    <w:rsid w:val="00793997"/>
    <w:rsid w:val="00860C35"/>
    <w:rsid w:val="00862A8B"/>
    <w:rsid w:val="00897EDB"/>
    <w:rsid w:val="008A27F5"/>
    <w:rsid w:val="00966CCF"/>
    <w:rsid w:val="009716F6"/>
    <w:rsid w:val="00975E9A"/>
    <w:rsid w:val="00BA559F"/>
    <w:rsid w:val="00C22AF8"/>
    <w:rsid w:val="00C36117"/>
    <w:rsid w:val="00C4799B"/>
    <w:rsid w:val="00CB47D4"/>
    <w:rsid w:val="00CD071F"/>
    <w:rsid w:val="00D00DA6"/>
    <w:rsid w:val="00D71800"/>
    <w:rsid w:val="00DC4DDA"/>
    <w:rsid w:val="00DD2497"/>
    <w:rsid w:val="00E125B2"/>
    <w:rsid w:val="00F21C0B"/>
    <w:rsid w:val="00F97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8E60C"/>
  <w15:chartTrackingRefBased/>
  <w15:docId w15:val="{23B90107-34FA-0F44-A89B-D4E4AACE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imes New Roman"/>
        <w:color w:val="000000" w:themeColor="text1"/>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A5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5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55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5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55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55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55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55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55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59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BA559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BA559F"/>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A559F"/>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A559F"/>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BA559F"/>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A559F"/>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BA559F"/>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A559F"/>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BA559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A559F"/>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BA55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59F"/>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A55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59F"/>
    <w:rPr>
      <w:i/>
      <w:iCs/>
      <w:color w:val="404040" w:themeColor="text1" w:themeTint="BF"/>
      <w:lang w:val="en-GB"/>
    </w:rPr>
  </w:style>
  <w:style w:type="paragraph" w:styleId="ListParagraph">
    <w:name w:val="List Paragraph"/>
    <w:basedOn w:val="Normal"/>
    <w:uiPriority w:val="34"/>
    <w:qFormat/>
    <w:rsid w:val="00BA559F"/>
    <w:pPr>
      <w:ind w:left="720"/>
      <w:contextualSpacing/>
    </w:pPr>
  </w:style>
  <w:style w:type="character" w:styleId="IntenseEmphasis">
    <w:name w:val="Intense Emphasis"/>
    <w:basedOn w:val="DefaultParagraphFont"/>
    <w:uiPriority w:val="21"/>
    <w:qFormat/>
    <w:rsid w:val="00BA559F"/>
    <w:rPr>
      <w:i/>
      <w:iCs/>
      <w:color w:val="0F4761" w:themeColor="accent1" w:themeShade="BF"/>
    </w:rPr>
  </w:style>
  <w:style w:type="paragraph" w:styleId="IntenseQuote">
    <w:name w:val="Intense Quote"/>
    <w:basedOn w:val="Normal"/>
    <w:next w:val="Normal"/>
    <w:link w:val="IntenseQuoteChar"/>
    <w:uiPriority w:val="30"/>
    <w:qFormat/>
    <w:rsid w:val="00BA5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59F"/>
    <w:rPr>
      <w:i/>
      <w:iCs/>
      <w:color w:val="0F4761" w:themeColor="accent1" w:themeShade="BF"/>
      <w:lang w:val="en-GB"/>
    </w:rPr>
  </w:style>
  <w:style w:type="character" w:styleId="IntenseReference">
    <w:name w:val="Intense Reference"/>
    <w:basedOn w:val="DefaultParagraphFont"/>
    <w:uiPriority w:val="32"/>
    <w:qFormat/>
    <w:rsid w:val="00BA55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1142</Words>
  <Characters>7458</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 McKenzie Institute</dc:creator>
  <cp:keywords/>
  <dc:description/>
  <cp:lastModifiedBy>Helen Clare | McKenzie Institute</cp:lastModifiedBy>
  <cp:revision>2</cp:revision>
  <dcterms:created xsi:type="dcterms:W3CDTF">2026-06-27T11:27:00Z</dcterms:created>
  <dcterms:modified xsi:type="dcterms:W3CDTF">2026-06-27T11:27:00Z</dcterms:modified>
</cp:coreProperties>
</file>