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6FC2DD" w14:textId="1E82305A" w:rsidR="00205115" w:rsidRDefault="007E172A" w:rsidP="00205115">
      <w:pPr>
        <w:rPr>
          <w:rFonts w:cs="Arial"/>
          <w:b/>
          <w:bCs/>
          <w:sz w:val="24"/>
          <w:szCs w:val="24"/>
          <w:lang w:val="en-CA"/>
        </w:rPr>
      </w:pPr>
      <w:r>
        <w:rPr>
          <w:rFonts w:cs="Arial"/>
          <w:b/>
          <w:bCs/>
          <w:sz w:val="24"/>
          <w:szCs w:val="24"/>
          <w:lang w:val="en-CA"/>
        </w:rPr>
        <w:t>Faculty Session One:</w:t>
      </w:r>
    </w:p>
    <w:p w14:paraId="3BB16360" w14:textId="77777777" w:rsidR="007E172A" w:rsidRPr="007E172A" w:rsidRDefault="007E172A" w:rsidP="00205115">
      <w:pPr>
        <w:rPr>
          <w:rFonts w:cs="Arial"/>
          <w:b/>
          <w:bCs/>
          <w:sz w:val="24"/>
          <w:szCs w:val="24"/>
          <w:lang w:val="en-CA"/>
        </w:rPr>
      </w:pPr>
    </w:p>
    <w:p w14:paraId="7D2EA0D0" w14:textId="77777777" w:rsidR="007E172A" w:rsidRDefault="00205115" w:rsidP="00205115">
      <w:pPr>
        <w:rPr>
          <w:sz w:val="22"/>
          <w:szCs w:val="22"/>
          <w:lang w:val="en-CA"/>
        </w:rPr>
      </w:pPr>
      <w:r w:rsidRPr="007E172A">
        <w:rPr>
          <w:sz w:val="22"/>
          <w:szCs w:val="22"/>
          <w:lang w:val="en-CA"/>
        </w:rPr>
        <w:t>This meeting was a professional development session focus</w:t>
      </w:r>
      <w:r w:rsidR="007E172A">
        <w:rPr>
          <w:sz w:val="22"/>
          <w:szCs w:val="22"/>
          <w:lang w:val="en-CA"/>
        </w:rPr>
        <w:t>ing</w:t>
      </w:r>
      <w:r w:rsidRPr="007E172A">
        <w:rPr>
          <w:sz w:val="22"/>
          <w:szCs w:val="22"/>
          <w:lang w:val="en-CA"/>
        </w:rPr>
        <w:t xml:space="preserve"> on difficult patient cases and management strategies in MDT</w:t>
      </w:r>
      <w:r w:rsidR="00AD5B43" w:rsidRPr="007E172A">
        <w:rPr>
          <w:sz w:val="22"/>
          <w:szCs w:val="22"/>
          <w:lang w:val="en-CA"/>
        </w:rPr>
        <w:t xml:space="preserve">. </w:t>
      </w:r>
    </w:p>
    <w:p w14:paraId="1C0ECA14" w14:textId="77777777" w:rsidR="007E172A" w:rsidRDefault="007E172A" w:rsidP="00205115">
      <w:pPr>
        <w:rPr>
          <w:sz w:val="22"/>
          <w:szCs w:val="22"/>
          <w:lang w:val="en-CA"/>
        </w:rPr>
      </w:pPr>
    </w:p>
    <w:p w14:paraId="0728A035" w14:textId="00DC3CA2" w:rsidR="007E172A" w:rsidRDefault="00205115" w:rsidP="00205115">
      <w:pPr>
        <w:rPr>
          <w:sz w:val="22"/>
          <w:szCs w:val="22"/>
          <w:lang w:val="en-CA"/>
        </w:rPr>
      </w:pPr>
      <w:r w:rsidRPr="007E172A">
        <w:rPr>
          <w:sz w:val="22"/>
          <w:szCs w:val="22"/>
          <w:lang w:val="en-CA"/>
        </w:rPr>
        <w:t xml:space="preserve">The first session, led by Jonathan and colleagues, addressed handling scenarios when patients return worse after initial treatment or when they present with beliefs about their conditions (like herniated discs) that conflict with MDT principles. The presenters emphasized the importance of acknowledging patient feelings, avoiding accusatory language, and maintaining therapeutic alliances while managing challenging cases in educational settings. </w:t>
      </w:r>
    </w:p>
    <w:p w14:paraId="6C4702DC" w14:textId="77777777" w:rsidR="007E172A" w:rsidRDefault="007E172A" w:rsidP="00205115">
      <w:pPr>
        <w:rPr>
          <w:sz w:val="22"/>
          <w:szCs w:val="22"/>
          <w:lang w:val="en-CA"/>
        </w:rPr>
      </w:pPr>
    </w:p>
    <w:p w14:paraId="39512415" w14:textId="77777777" w:rsidR="007E172A" w:rsidRDefault="00205115" w:rsidP="00205115">
      <w:pPr>
        <w:rPr>
          <w:sz w:val="22"/>
          <w:szCs w:val="22"/>
          <w:lang w:val="en-CA"/>
        </w:rPr>
      </w:pPr>
      <w:r w:rsidRPr="007E172A">
        <w:rPr>
          <w:sz w:val="22"/>
          <w:szCs w:val="22"/>
          <w:lang w:val="en-CA"/>
        </w:rPr>
        <w:t xml:space="preserve">The second session, presented by Thanos and Simon, covered managing chronic pain syndrome patients, introducing a four-pillar framework including person-centered communication, pain coping strategies, pain modulation techniques, and gradual exposure to feared movements. </w:t>
      </w:r>
    </w:p>
    <w:p w14:paraId="142E72FA" w14:textId="77777777" w:rsidR="007E172A" w:rsidRDefault="007E172A" w:rsidP="00205115">
      <w:pPr>
        <w:rPr>
          <w:sz w:val="22"/>
          <w:szCs w:val="22"/>
          <w:lang w:val="en-CA"/>
        </w:rPr>
      </w:pPr>
    </w:p>
    <w:p w14:paraId="6E9354F9" w14:textId="78E21437" w:rsidR="00205115" w:rsidRPr="007E172A" w:rsidRDefault="00205115" w:rsidP="00205115">
      <w:pPr>
        <w:rPr>
          <w:sz w:val="22"/>
          <w:szCs w:val="22"/>
          <w:lang w:val="en-CA"/>
        </w:rPr>
      </w:pPr>
      <w:r w:rsidRPr="007E172A">
        <w:rPr>
          <w:sz w:val="22"/>
          <w:szCs w:val="22"/>
          <w:lang w:val="en-CA"/>
        </w:rPr>
        <w:t>The final session, led by Marika</w:t>
      </w:r>
      <w:r w:rsidR="00AD5B43" w:rsidRPr="007E172A">
        <w:rPr>
          <w:sz w:val="22"/>
          <w:szCs w:val="22"/>
          <w:lang w:val="en-CA"/>
        </w:rPr>
        <w:t xml:space="preserve">, </w:t>
      </w:r>
      <w:r w:rsidRPr="007E172A">
        <w:rPr>
          <w:sz w:val="22"/>
          <w:szCs w:val="22"/>
          <w:lang w:val="en-CA"/>
        </w:rPr>
        <w:t>Sarah</w:t>
      </w:r>
      <w:r w:rsidR="00AD5B43" w:rsidRPr="007E172A">
        <w:rPr>
          <w:sz w:val="22"/>
          <w:szCs w:val="22"/>
          <w:lang w:val="en-CA"/>
        </w:rPr>
        <w:t xml:space="preserve"> and JP</w:t>
      </w:r>
      <w:r w:rsidRPr="007E172A">
        <w:rPr>
          <w:sz w:val="22"/>
          <w:szCs w:val="22"/>
          <w:lang w:val="en-CA"/>
        </w:rPr>
        <w:t>, focused on group dynamics and psychological safety in classroom settings, incorporating interactive activities including a bingo game to build rapport among participants.</w:t>
      </w:r>
    </w:p>
    <w:p w14:paraId="3680278B" w14:textId="77777777" w:rsidR="00AD5B43" w:rsidRPr="007E172A" w:rsidRDefault="00AD5B43" w:rsidP="00205115">
      <w:pPr>
        <w:rPr>
          <w:sz w:val="22"/>
          <w:szCs w:val="22"/>
          <w:lang w:val="en-CA"/>
        </w:rPr>
      </w:pPr>
    </w:p>
    <w:p w14:paraId="37BBE09B" w14:textId="77777777" w:rsidR="00205115" w:rsidRPr="007E172A" w:rsidRDefault="00205115" w:rsidP="00205115">
      <w:pPr>
        <w:rPr>
          <w:b/>
          <w:bCs/>
          <w:sz w:val="22"/>
          <w:szCs w:val="22"/>
          <w:lang w:val="en-CA"/>
        </w:rPr>
      </w:pPr>
      <w:r w:rsidRPr="007E172A">
        <w:rPr>
          <w:b/>
          <w:bCs/>
          <w:sz w:val="22"/>
          <w:szCs w:val="22"/>
          <w:lang w:val="en-CA"/>
        </w:rPr>
        <w:t>Collaboration</w:t>
      </w:r>
    </w:p>
    <w:p w14:paraId="3DA47738" w14:textId="77777777" w:rsidR="00205115" w:rsidRPr="007E172A" w:rsidRDefault="00205115" w:rsidP="00205115">
      <w:pPr>
        <w:numPr>
          <w:ilvl w:val="0"/>
          <w:numId w:val="2"/>
        </w:numPr>
        <w:rPr>
          <w:sz w:val="22"/>
          <w:szCs w:val="22"/>
          <w:lang w:val="en-CA"/>
        </w:rPr>
      </w:pPr>
      <w:r w:rsidRPr="007E172A">
        <w:rPr>
          <w:sz w:val="22"/>
          <w:szCs w:val="22"/>
          <w:lang w:val="en-CA"/>
        </w:rPr>
        <w:t>All faculty/instructors: Continue to emphasize pre-emptive patient education about possible symptom worsening and the meaning of "better" and "worse" during initial sessions to reduce patient and class anxiety when symptoms change.</w:t>
      </w:r>
    </w:p>
    <w:p w14:paraId="697E822C" w14:textId="77777777" w:rsidR="00205115" w:rsidRPr="007E172A" w:rsidRDefault="00205115" w:rsidP="00205115">
      <w:pPr>
        <w:numPr>
          <w:ilvl w:val="0"/>
          <w:numId w:val="2"/>
        </w:numPr>
        <w:rPr>
          <w:sz w:val="22"/>
          <w:szCs w:val="22"/>
          <w:lang w:val="en-CA"/>
        </w:rPr>
      </w:pPr>
      <w:r w:rsidRPr="007E172A">
        <w:rPr>
          <w:sz w:val="22"/>
          <w:szCs w:val="22"/>
          <w:lang w:val="en-CA"/>
        </w:rPr>
        <w:t>All faculty/instructors: When teaching, ensure clear differentiation between narrative/discussion with patients (acknowledging beliefs without confrontation) and clinical reasoning discussion with course participants, especially in cases involving strong patient beliefs (e.g., about MRI findings or pathoanatomic diagnoses).</w:t>
      </w:r>
    </w:p>
    <w:p w14:paraId="3554C23A" w14:textId="77777777" w:rsidR="00205115" w:rsidRPr="007E172A" w:rsidRDefault="00205115" w:rsidP="00205115">
      <w:pPr>
        <w:numPr>
          <w:ilvl w:val="0"/>
          <w:numId w:val="2"/>
        </w:numPr>
        <w:rPr>
          <w:sz w:val="22"/>
          <w:szCs w:val="22"/>
          <w:lang w:val="en-CA"/>
        </w:rPr>
      </w:pPr>
      <w:r w:rsidRPr="007E172A">
        <w:rPr>
          <w:sz w:val="22"/>
          <w:szCs w:val="22"/>
          <w:lang w:val="en-CA"/>
        </w:rPr>
        <w:t>Thanos and Simon: Share additional resources and references regarding chronic pain syndrome management and the four pillars (person-centered communication, pain coping, pain modulation, exposure) with interested participants.</w:t>
      </w:r>
    </w:p>
    <w:p w14:paraId="0FAC08A9" w14:textId="52BCC46C" w:rsidR="00205115" w:rsidRPr="007E172A" w:rsidRDefault="00205115" w:rsidP="00205115">
      <w:pPr>
        <w:numPr>
          <w:ilvl w:val="0"/>
          <w:numId w:val="2"/>
        </w:numPr>
        <w:rPr>
          <w:sz w:val="22"/>
          <w:szCs w:val="22"/>
          <w:lang w:val="en-CA"/>
        </w:rPr>
      </w:pPr>
      <w:r w:rsidRPr="007E172A">
        <w:rPr>
          <w:sz w:val="22"/>
          <w:szCs w:val="22"/>
          <w:lang w:val="en-CA"/>
        </w:rPr>
        <w:t xml:space="preserve">Marika and Sarah: Collect and review feedback from participants via Menti about the group work and psychological safety </w:t>
      </w:r>
      <w:proofErr w:type="gramStart"/>
      <w:r w:rsidRPr="007E172A">
        <w:rPr>
          <w:sz w:val="22"/>
          <w:szCs w:val="22"/>
          <w:lang w:val="en-CA"/>
        </w:rPr>
        <w:t>sessions,</w:t>
      </w:r>
      <w:r w:rsidR="007E172A">
        <w:rPr>
          <w:sz w:val="22"/>
          <w:szCs w:val="22"/>
          <w:lang w:val="en-CA"/>
        </w:rPr>
        <w:t xml:space="preserve"> </w:t>
      </w:r>
      <w:r w:rsidRPr="007E172A">
        <w:rPr>
          <w:sz w:val="22"/>
          <w:szCs w:val="22"/>
          <w:lang w:val="en-CA"/>
        </w:rPr>
        <w:t>and</w:t>
      </w:r>
      <w:proofErr w:type="gramEnd"/>
      <w:r w:rsidRPr="007E172A">
        <w:rPr>
          <w:sz w:val="22"/>
          <w:szCs w:val="22"/>
          <w:lang w:val="en-CA"/>
        </w:rPr>
        <w:t xml:space="preserve"> consider incorporating suggestions in future workshops.</w:t>
      </w:r>
    </w:p>
    <w:p w14:paraId="55D4E9D9" w14:textId="6B1A8F7A" w:rsidR="00205115" w:rsidRPr="007E172A" w:rsidRDefault="00205115" w:rsidP="00205115">
      <w:pPr>
        <w:numPr>
          <w:ilvl w:val="0"/>
          <w:numId w:val="2"/>
        </w:numPr>
        <w:rPr>
          <w:sz w:val="22"/>
          <w:szCs w:val="22"/>
          <w:lang w:val="en-CA"/>
        </w:rPr>
      </w:pPr>
      <w:r w:rsidRPr="007E172A">
        <w:rPr>
          <w:sz w:val="22"/>
          <w:szCs w:val="22"/>
          <w:lang w:val="en-CA"/>
        </w:rPr>
        <w:t>All faculty/instructors: Consider incorporating the "Simon's fle</w:t>
      </w:r>
      <w:r w:rsidR="00AD5B43" w:rsidRPr="007E172A">
        <w:rPr>
          <w:sz w:val="22"/>
          <w:szCs w:val="22"/>
          <w:lang w:val="en-CA"/>
        </w:rPr>
        <w:t>x</w:t>
      </w:r>
      <w:r w:rsidRPr="007E172A">
        <w:rPr>
          <w:sz w:val="22"/>
          <w:szCs w:val="22"/>
          <w:lang w:val="en-CA"/>
        </w:rPr>
        <w:t>ion test" and similar novel assessment/exposure techniques for fear avoidance in extremity courses</w:t>
      </w:r>
      <w:r w:rsidR="007E172A">
        <w:rPr>
          <w:sz w:val="22"/>
          <w:szCs w:val="22"/>
          <w:lang w:val="en-CA"/>
        </w:rPr>
        <w:t xml:space="preserve"> </w:t>
      </w:r>
      <w:r w:rsidRPr="007E172A">
        <w:rPr>
          <w:sz w:val="22"/>
          <w:szCs w:val="22"/>
          <w:lang w:val="en-CA"/>
        </w:rPr>
        <w:t>and share outcomes/experiences with the group.</w:t>
      </w:r>
    </w:p>
    <w:p w14:paraId="34DD9279" w14:textId="77777777" w:rsidR="00AD5B43" w:rsidRPr="007E172A" w:rsidRDefault="00AD5B43" w:rsidP="007E172A">
      <w:pPr>
        <w:ind w:left="720"/>
        <w:rPr>
          <w:sz w:val="22"/>
          <w:szCs w:val="22"/>
          <w:lang w:val="en-CA"/>
        </w:rPr>
      </w:pPr>
    </w:p>
    <w:p w14:paraId="272041AD" w14:textId="77777777" w:rsidR="00205115" w:rsidRPr="007E172A" w:rsidRDefault="00205115" w:rsidP="00205115">
      <w:pPr>
        <w:rPr>
          <w:b/>
          <w:bCs/>
          <w:sz w:val="24"/>
          <w:szCs w:val="24"/>
          <w:lang w:val="en-CA"/>
        </w:rPr>
      </w:pPr>
      <w:r w:rsidRPr="007E172A">
        <w:rPr>
          <w:b/>
          <w:bCs/>
          <w:sz w:val="24"/>
          <w:szCs w:val="24"/>
          <w:lang w:val="en-CA"/>
        </w:rPr>
        <w:t>Summary</w:t>
      </w:r>
    </w:p>
    <w:p w14:paraId="531550FD" w14:textId="77777777" w:rsidR="007E172A" w:rsidRDefault="007E172A" w:rsidP="00205115">
      <w:pPr>
        <w:rPr>
          <w:b/>
          <w:bCs/>
          <w:sz w:val="22"/>
          <w:szCs w:val="22"/>
          <w:lang w:val="en-CA"/>
        </w:rPr>
      </w:pPr>
    </w:p>
    <w:p w14:paraId="1B8454DA" w14:textId="2EC83E93" w:rsidR="00205115" w:rsidRPr="007E172A" w:rsidRDefault="00205115" w:rsidP="00205115">
      <w:pPr>
        <w:rPr>
          <w:b/>
          <w:bCs/>
          <w:sz w:val="22"/>
          <w:szCs w:val="22"/>
          <w:lang w:val="en-CA"/>
        </w:rPr>
      </w:pPr>
      <w:r w:rsidRPr="007E172A">
        <w:rPr>
          <w:b/>
          <w:bCs/>
          <w:sz w:val="22"/>
          <w:szCs w:val="22"/>
          <w:lang w:val="en-CA"/>
        </w:rPr>
        <w:t>Handling Difficult Patient Assessments</w:t>
      </w:r>
    </w:p>
    <w:p w14:paraId="69B53F15" w14:textId="77777777" w:rsidR="007E172A" w:rsidRDefault="00205115" w:rsidP="007E172A">
      <w:pPr>
        <w:pStyle w:val="ListParagraph"/>
        <w:numPr>
          <w:ilvl w:val="0"/>
          <w:numId w:val="3"/>
        </w:numPr>
        <w:rPr>
          <w:sz w:val="22"/>
          <w:szCs w:val="22"/>
          <w:lang w:val="en-CA"/>
        </w:rPr>
      </w:pPr>
      <w:r w:rsidRPr="007E172A">
        <w:rPr>
          <w:sz w:val="22"/>
          <w:szCs w:val="22"/>
          <w:lang w:val="en-CA"/>
        </w:rPr>
        <w:t xml:space="preserve">Jonathan introduced a scenario where a patient returned worse after doing an exercise, and he asked the audience how they would handle such a situation. </w:t>
      </w:r>
    </w:p>
    <w:p w14:paraId="227C0AF9" w14:textId="0BBDC854" w:rsidR="007E172A" w:rsidRDefault="00205115" w:rsidP="007E172A">
      <w:pPr>
        <w:pStyle w:val="ListParagraph"/>
        <w:numPr>
          <w:ilvl w:val="0"/>
          <w:numId w:val="3"/>
        </w:numPr>
        <w:rPr>
          <w:sz w:val="22"/>
          <w:szCs w:val="22"/>
          <w:lang w:val="en-CA"/>
        </w:rPr>
      </w:pPr>
      <w:r w:rsidRPr="007E172A">
        <w:rPr>
          <w:sz w:val="22"/>
          <w:szCs w:val="22"/>
          <w:lang w:val="en-CA"/>
        </w:rPr>
        <w:t>Audrey shared her approach of investigating the patient's timeline and reassurance techniques</w:t>
      </w:r>
      <w:r w:rsidR="007E172A">
        <w:rPr>
          <w:sz w:val="22"/>
          <w:szCs w:val="22"/>
          <w:lang w:val="en-CA"/>
        </w:rPr>
        <w:t>.</w:t>
      </w:r>
    </w:p>
    <w:p w14:paraId="3EB80237" w14:textId="00E313D2" w:rsidR="00205115" w:rsidRPr="007E172A" w:rsidRDefault="00AD5B43" w:rsidP="007E172A">
      <w:pPr>
        <w:pStyle w:val="ListParagraph"/>
        <w:numPr>
          <w:ilvl w:val="0"/>
          <w:numId w:val="3"/>
        </w:numPr>
        <w:rPr>
          <w:sz w:val="22"/>
          <w:szCs w:val="22"/>
          <w:lang w:val="en-CA"/>
        </w:rPr>
      </w:pPr>
      <w:r w:rsidRPr="007E172A">
        <w:rPr>
          <w:sz w:val="22"/>
          <w:szCs w:val="22"/>
          <w:lang w:val="en-CA"/>
        </w:rPr>
        <w:t>Gabor</w:t>
      </w:r>
      <w:r w:rsidR="00205115" w:rsidRPr="007E172A">
        <w:rPr>
          <w:sz w:val="22"/>
          <w:szCs w:val="22"/>
          <w:lang w:val="en-CA"/>
        </w:rPr>
        <w:t xml:space="preserve"> suggested defining whether the pain was the same or different before proceeding with management.</w:t>
      </w:r>
    </w:p>
    <w:p w14:paraId="00C24F14" w14:textId="77777777" w:rsidR="00AD5B43" w:rsidRPr="007E172A" w:rsidRDefault="00AD5B43" w:rsidP="00205115">
      <w:pPr>
        <w:rPr>
          <w:sz w:val="22"/>
          <w:szCs w:val="22"/>
          <w:lang w:val="en-CA"/>
        </w:rPr>
      </w:pPr>
    </w:p>
    <w:p w14:paraId="3439DBB6" w14:textId="77777777" w:rsidR="00205115" w:rsidRPr="007E172A" w:rsidRDefault="00205115" w:rsidP="00205115">
      <w:pPr>
        <w:rPr>
          <w:b/>
          <w:bCs/>
          <w:sz w:val="22"/>
          <w:szCs w:val="22"/>
          <w:lang w:val="en-CA"/>
        </w:rPr>
      </w:pPr>
      <w:r w:rsidRPr="007E172A">
        <w:rPr>
          <w:b/>
          <w:bCs/>
          <w:sz w:val="22"/>
          <w:szCs w:val="22"/>
          <w:lang w:val="en-CA"/>
        </w:rPr>
        <w:t>Patient Treatment Outcome Management Strategies</w:t>
      </w:r>
    </w:p>
    <w:p w14:paraId="3B8D7C8E" w14:textId="77777777" w:rsidR="007E172A" w:rsidRDefault="00205115" w:rsidP="00205115">
      <w:pPr>
        <w:rPr>
          <w:sz w:val="22"/>
          <w:szCs w:val="22"/>
          <w:lang w:val="en-CA"/>
        </w:rPr>
      </w:pPr>
      <w:r w:rsidRPr="007E172A">
        <w:rPr>
          <w:sz w:val="22"/>
          <w:szCs w:val="22"/>
          <w:lang w:val="en-CA"/>
        </w:rPr>
        <w:lastRenderedPageBreak/>
        <w:t xml:space="preserve">The group discussed strategies for handling patients who return worse after treatment or exercise. </w:t>
      </w:r>
    </w:p>
    <w:p w14:paraId="0B627BF3" w14:textId="77777777" w:rsidR="007E172A" w:rsidRDefault="007E172A" w:rsidP="007E172A">
      <w:pPr>
        <w:pStyle w:val="ListParagraph"/>
        <w:numPr>
          <w:ilvl w:val="0"/>
          <w:numId w:val="4"/>
        </w:numPr>
        <w:rPr>
          <w:sz w:val="22"/>
          <w:szCs w:val="22"/>
          <w:lang w:val="en-CA"/>
        </w:rPr>
      </w:pPr>
      <w:r>
        <w:rPr>
          <w:sz w:val="22"/>
          <w:szCs w:val="22"/>
          <w:lang w:val="en-CA"/>
        </w:rPr>
        <w:t>E</w:t>
      </w:r>
      <w:r w:rsidRPr="007E172A">
        <w:rPr>
          <w:sz w:val="22"/>
          <w:szCs w:val="22"/>
          <w:lang w:val="en-CA"/>
        </w:rPr>
        <w:t>mphasi</w:t>
      </w:r>
      <w:r>
        <w:rPr>
          <w:sz w:val="22"/>
          <w:szCs w:val="22"/>
          <w:lang w:val="en-CA"/>
        </w:rPr>
        <w:t xml:space="preserve">s </w:t>
      </w:r>
      <w:proofErr w:type="gramStart"/>
      <w:r>
        <w:rPr>
          <w:sz w:val="22"/>
          <w:szCs w:val="22"/>
          <w:lang w:val="en-CA"/>
        </w:rPr>
        <w:t xml:space="preserve">on </w:t>
      </w:r>
      <w:r w:rsidR="00205115" w:rsidRPr="007E172A">
        <w:rPr>
          <w:sz w:val="22"/>
          <w:szCs w:val="22"/>
          <w:lang w:val="en-CA"/>
        </w:rPr>
        <w:t xml:space="preserve"> the</w:t>
      </w:r>
      <w:proofErr w:type="gramEnd"/>
      <w:r w:rsidR="00205115" w:rsidRPr="007E172A">
        <w:rPr>
          <w:sz w:val="22"/>
          <w:szCs w:val="22"/>
          <w:lang w:val="en-CA"/>
        </w:rPr>
        <w:t xml:space="preserve"> importance of starting with empathy and avoiding blame, instead focusing on understanding whether the patient is truly worse and gathering details about their experience. </w:t>
      </w:r>
    </w:p>
    <w:p w14:paraId="3AB73D29" w14:textId="77777777" w:rsidR="007E172A" w:rsidRDefault="00205115" w:rsidP="007E172A">
      <w:pPr>
        <w:pStyle w:val="ListParagraph"/>
        <w:numPr>
          <w:ilvl w:val="0"/>
          <w:numId w:val="4"/>
        </w:numPr>
        <w:rPr>
          <w:sz w:val="22"/>
          <w:szCs w:val="22"/>
          <w:lang w:val="en-CA"/>
        </w:rPr>
      </w:pPr>
      <w:r w:rsidRPr="007E172A">
        <w:rPr>
          <w:sz w:val="22"/>
          <w:szCs w:val="22"/>
          <w:lang w:val="en-CA"/>
        </w:rPr>
        <w:t xml:space="preserve">The discussion highlighted the need to properly educate patients about centralization and the possibility of worsening before starting exercises, as well as the importance of not challenging patients' existing medical beliefs about conditions like herniated discs. </w:t>
      </w:r>
    </w:p>
    <w:p w14:paraId="2AAEA5E4" w14:textId="68DE7EE6" w:rsidR="00205115" w:rsidRPr="007E172A" w:rsidRDefault="00205115" w:rsidP="007E172A">
      <w:pPr>
        <w:pStyle w:val="ListParagraph"/>
        <w:numPr>
          <w:ilvl w:val="0"/>
          <w:numId w:val="4"/>
        </w:numPr>
        <w:rPr>
          <w:sz w:val="22"/>
          <w:szCs w:val="22"/>
          <w:lang w:val="en-CA"/>
        </w:rPr>
      </w:pPr>
      <w:r w:rsidRPr="007E172A">
        <w:rPr>
          <w:sz w:val="22"/>
          <w:szCs w:val="22"/>
          <w:lang w:val="en-CA"/>
        </w:rPr>
        <w:t>The conversation also covered how to assess patients who report feeling better, with emphasis on verifying actual improvements and setting appropriate baselines.</w:t>
      </w:r>
    </w:p>
    <w:p w14:paraId="555F9131" w14:textId="77777777" w:rsidR="00AD5B43" w:rsidRPr="007E172A" w:rsidRDefault="00AD5B43" w:rsidP="00205115">
      <w:pPr>
        <w:rPr>
          <w:sz w:val="22"/>
          <w:szCs w:val="22"/>
          <w:lang w:val="en-CA"/>
        </w:rPr>
      </w:pPr>
    </w:p>
    <w:p w14:paraId="091EEE54" w14:textId="77777777" w:rsidR="00205115" w:rsidRPr="007E172A" w:rsidRDefault="00205115" w:rsidP="00205115">
      <w:pPr>
        <w:rPr>
          <w:b/>
          <w:bCs/>
          <w:sz w:val="22"/>
          <w:szCs w:val="22"/>
          <w:lang w:val="en-CA"/>
        </w:rPr>
      </w:pPr>
      <w:r w:rsidRPr="007E172A">
        <w:rPr>
          <w:b/>
          <w:bCs/>
          <w:sz w:val="22"/>
          <w:szCs w:val="22"/>
          <w:lang w:val="en-CA"/>
        </w:rPr>
        <w:t>Patient Expectations and Pain Management</w:t>
      </w:r>
    </w:p>
    <w:p w14:paraId="43F2DD47" w14:textId="77777777" w:rsidR="007E172A" w:rsidRDefault="00AD5B43" w:rsidP="007E172A">
      <w:pPr>
        <w:pStyle w:val="ListParagraph"/>
        <w:numPr>
          <w:ilvl w:val="0"/>
          <w:numId w:val="5"/>
        </w:numPr>
        <w:rPr>
          <w:sz w:val="22"/>
          <w:szCs w:val="22"/>
          <w:lang w:val="en-CA"/>
        </w:rPr>
      </w:pPr>
      <w:r w:rsidRPr="007E172A">
        <w:rPr>
          <w:sz w:val="22"/>
          <w:szCs w:val="22"/>
          <w:lang w:val="en-CA"/>
        </w:rPr>
        <w:t>The group</w:t>
      </w:r>
      <w:r w:rsidR="00205115" w:rsidRPr="007E172A">
        <w:rPr>
          <w:sz w:val="22"/>
          <w:szCs w:val="22"/>
          <w:lang w:val="en-CA"/>
        </w:rPr>
        <w:t xml:space="preserve"> discussed managing patient expectations and belief systems when presenting diagnostic results, emphasizing the importance of maintaining patient trust while allowing them to process information in their own way. </w:t>
      </w:r>
    </w:p>
    <w:p w14:paraId="3A0CFB01" w14:textId="77777777" w:rsidR="007E172A" w:rsidRDefault="00AD5B43" w:rsidP="00205115">
      <w:pPr>
        <w:pStyle w:val="ListParagraph"/>
        <w:numPr>
          <w:ilvl w:val="0"/>
          <w:numId w:val="5"/>
        </w:numPr>
        <w:rPr>
          <w:sz w:val="22"/>
          <w:szCs w:val="22"/>
          <w:lang w:val="en-CA"/>
        </w:rPr>
      </w:pPr>
      <w:r w:rsidRPr="007E172A">
        <w:rPr>
          <w:sz w:val="22"/>
          <w:szCs w:val="22"/>
          <w:lang w:val="en-CA"/>
        </w:rPr>
        <w:t>The group</w:t>
      </w:r>
      <w:r w:rsidR="00205115" w:rsidRPr="007E172A">
        <w:rPr>
          <w:sz w:val="22"/>
          <w:szCs w:val="22"/>
          <w:lang w:val="en-CA"/>
        </w:rPr>
        <w:t xml:space="preserve"> explained that while clinicians might not know if they can change a herniated disc, they can effectively help patients by identifying directional preferences and reducing pain. </w:t>
      </w:r>
    </w:p>
    <w:p w14:paraId="02A9BF79" w14:textId="48E68B3D" w:rsidR="00205115" w:rsidRPr="007E172A" w:rsidRDefault="007E172A" w:rsidP="00205115">
      <w:pPr>
        <w:pStyle w:val="ListParagraph"/>
        <w:numPr>
          <w:ilvl w:val="0"/>
          <w:numId w:val="5"/>
        </w:numPr>
        <w:rPr>
          <w:sz w:val="22"/>
          <w:szCs w:val="22"/>
          <w:lang w:val="en-CA"/>
        </w:rPr>
      </w:pPr>
      <w:r>
        <w:rPr>
          <w:sz w:val="22"/>
          <w:szCs w:val="22"/>
          <w:lang w:val="en-CA"/>
        </w:rPr>
        <w:t>A</w:t>
      </w:r>
      <w:r w:rsidR="00205115" w:rsidRPr="007E172A">
        <w:rPr>
          <w:sz w:val="22"/>
          <w:szCs w:val="22"/>
          <w:lang w:val="en-CA"/>
        </w:rPr>
        <w:t xml:space="preserve"> case study presented by Thanos, where a complex chronic pain patient was assessed using the McKenzie MDT system, leading to diverse opinions among participants about the classification and treatment approach.</w:t>
      </w:r>
    </w:p>
    <w:p w14:paraId="3213E4E3" w14:textId="77777777" w:rsidR="00AD5B43" w:rsidRPr="007E172A" w:rsidRDefault="00AD5B43" w:rsidP="00205115">
      <w:pPr>
        <w:rPr>
          <w:sz w:val="22"/>
          <w:szCs w:val="22"/>
          <w:lang w:val="en-CA"/>
        </w:rPr>
      </w:pPr>
    </w:p>
    <w:p w14:paraId="452325DA" w14:textId="77777777" w:rsidR="00205115" w:rsidRPr="007E172A" w:rsidRDefault="00205115" w:rsidP="00205115">
      <w:pPr>
        <w:rPr>
          <w:b/>
          <w:bCs/>
          <w:sz w:val="22"/>
          <w:szCs w:val="22"/>
          <w:lang w:val="en-CA"/>
        </w:rPr>
      </w:pPr>
      <w:r w:rsidRPr="007E172A">
        <w:rPr>
          <w:b/>
          <w:bCs/>
          <w:sz w:val="22"/>
          <w:szCs w:val="22"/>
          <w:lang w:val="en-CA"/>
        </w:rPr>
        <w:t>Chronic Pain Management Approaches</w:t>
      </w:r>
    </w:p>
    <w:p w14:paraId="017DAD0D" w14:textId="77777777" w:rsidR="007E172A" w:rsidRDefault="00AD5B43" w:rsidP="007E172A">
      <w:pPr>
        <w:pStyle w:val="ListParagraph"/>
        <w:numPr>
          <w:ilvl w:val="0"/>
          <w:numId w:val="7"/>
        </w:numPr>
        <w:rPr>
          <w:sz w:val="22"/>
          <w:szCs w:val="22"/>
          <w:lang w:val="en-CA"/>
        </w:rPr>
      </w:pPr>
      <w:r w:rsidRPr="007E172A">
        <w:rPr>
          <w:sz w:val="22"/>
          <w:szCs w:val="22"/>
          <w:lang w:val="en-CA"/>
        </w:rPr>
        <w:t>Thanos</w:t>
      </w:r>
      <w:r w:rsidR="00205115" w:rsidRPr="007E172A">
        <w:rPr>
          <w:sz w:val="22"/>
          <w:szCs w:val="22"/>
          <w:lang w:val="en-CA"/>
        </w:rPr>
        <w:t xml:space="preserve"> discussed managing patients with chronic pain, focusing on a four-pillar approach: person-centered communication, pain coping, pain modulation, and exposure. He explained how to use psychological strategies including the cognitive diamond tool and the Simon's </w:t>
      </w:r>
      <w:r w:rsidRPr="007E172A">
        <w:rPr>
          <w:sz w:val="22"/>
          <w:szCs w:val="22"/>
          <w:lang w:val="en-CA"/>
        </w:rPr>
        <w:t>flexion</w:t>
      </w:r>
      <w:r w:rsidR="00205115" w:rsidRPr="007E172A">
        <w:rPr>
          <w:sz w:val="22"/>
          <w:szCs w:val="22"/>
          <w:lang w:val="en-CA"/>
        </w:rPr>
        <w:t xml:space="preserve"> test to help patients with fear avoidance and pain modulation. </w:t>
      </w:r>
    </w:p>
    <w:p w14:paraId="706FEC12" w14:textId="494BF187" w:rsidR="00205115" w:rsidRPr="007E172A" w:rsidRDefault="00AD5B43" w:rsidP="007E172A">
      <w:pPr>
        <w:pStyle w:val="ListParagraph"/>
        <w:numPr>
          <w:ilvl w:val="0"/>
          <w:numId w:val="7"/>
        </w:numPr>
        <w:rPr>
          <w:sz w:val="22"/>
          <w:szCs w:val="22"/>
          <w:lang w:val="en-CA"/>
        </w:rPr>
      </w:pPr>
      <w:r w:rsidRPr="007E172A">
        <w:rPr>
          <w:sz w:val="22"/>
          <w:szCs w:val="22"/>
          <w:lang w:val="en-CA"/>
        </w:rPr>
        <w:t>Thanos and Simon</w:t>
      </w:r>
      <w:r w:rsidR="00205115" w:rsidRPr="007E172A">
        <w:rPr>
          <w:sz w:val="22"/>
          <w:szCs w:val="22"/>
          <w:lang w:val="en-CA"/>
        </w:rPr>
        <w:t xml:space="preserve"> emphasized that while MDT clinicians can effectively help many chronic pain patients using these approaches, some cases require multidisciplinary team involvement including psychologists or psychiatric care.</w:t>
      </w:r>
    </w:p>
    <w:p w14:paraId="4CB9C332" w14:textId="77777777" w:rsidR="00AD5B43" w:rsidRPr="007E172A" w:rsidRDefault="00AD5B43" w:rsidP="00205115">
      <w:pPr>
        <w:rPr>
          <w:sz w:val="22"/>
          <w:szCs w:val="22"/>
          <w:lang w:val="en-CA"/>
        </w:rPr>
      </w:pPr>
    </w:p>
    <w:p w14:paraId="10C05126" w14:textId="77777777" w:rsidR="00205115" w:rsidRPr="007E172A" w:rsidRDefault="00205115" w:rsidP="00205115">
      <w:pPr>
        <w:rPr>
          <w:b/>
          <w:bCs/>
          <w:sz w:val="22"/>
          <w:szCs w:val="22"/>
          <w:lang w:val="en-CA"/>
        </w:rPr>
      </w:pPr>
      <w:r w:rsidRPr="007E172A">
        <w:rPr>
          <w:b/>
          <w:bCs/>
          <w:sz w:val="22"/>
          <w:szCs w:val="22"/>
          <w:lang w:val="en-CA"/>
        </w:rPr>
        <w:t>Classroom Group Work Dynamics Workshop</w:t>
      </w:r>
    </w:p>
    <w:p w14:paraId="49406423" w14:textId="77777777" w:rsidR="007E172A" w:rsidRDefault="00AD5B43" w:rsidP="007E172A">
      <w:pPr>
        <w:pStyle w:val="ListParagraph"/>
        <w:numPr>
          <w:ilvl w:val="0"/>
          <w:numId w:val="8"/>
        </w:numPr>
        <w:rPr>
          <w:sz w:val="22"/>
          <w:szCs w:val="22"/>
          <w:lang w:val="en-CA"/>
        </w:rPr>
      </w:pPr>
      <w:r w:rsidRPr="007E172A">
        <w:rPr>
          <w:sz w:val="22"/>
          <w:szCs w:val="22"/>
        </w:rPr>
        <w:t>Marika / Matthieu / Patrice</w:t>
      </w:r>
      <w:r w:rsidR="00205115" w:rsidRPr="007E172A">
        <w:rPr>
          <w:sz w:val="22"/>
          <w:szCs w:val="22"/>
          <w:lang w:val="en-CA"/>
        </w:rPr>
        <w:t xml:space="preserve"> led a workshop on group work dynamics and psychological safety in classrooms, structured as a </w:t>
      </w:r>
      <w:proofErr w:type="gramStart"/>
      <w:r w:rsidR="00205115" w:rsidRPr="007E172A">
        <w:rPr>
          <w:sz w:val="22"/>
          <w:szCs w:val="22"/>
          <w:lang w:val="en-CA"/>
        </w:rPr>
        <w:t>mini-workshop</w:t>
      </w:r>
      <w:proofErr w:type="gramEnd"/>
      <w:r w:rsidR="00205115" w:rsidRPr="007E172A">
        <w:rPr>
          <w:sz w:val="22"/>
          <w:szCs w:val="22"/>
          <w:lang w:val="en-CA"/>
        </w:rPr>
        <w:t xml:space="preserve"> with an icebreaker activity followed by group discussions. </w:t>
      </w:r>
    </w:p>
    <w:p w14:paraId="77C0BD0A" w14:textId="77777777" w:rsidR="007E172A" w:rsidRDefault="00205115" w:rsidP="007E172A">
      <w:pPr>
        <w:pStyle w:val="ListParagraph"/>
        <w:numPr>
          <w:ilvl w:val="0"/>
          <w:numId w:val="8"/>
        </w:numPr>
        <w:rPr>
          <w:sz w:val="22"/>
          <w:szCs w:val="22"/>
          <w:lang w:val="en-CA"/>
        </w:rPr>
      </w:pPr>
      <w:r w:rsidRPr="007E172A">
        <w:rPr>
          <w:sz w:val="22"/>
          <w:szCs w:val="22"/>
          <w:lang w:val="en-CA"/>
        </w:rPr>
        <w:t xml:space="preserve">The workshop included a bingo game where participants had to find matching information about themselves and others in the room, with winners receiving prizes. </w:t>
      </w:r>
    </w:p>
    <w:p w14:paraId="3CF5D3C8" w14:textId="592190E6" w:rsidR="00205115" w:rsidRPr="007E172A" w:rsidRDefault="00205115" w:rsidP="007E172A">
      <w:pPr>
        <w:pStyle w:val="ListParagraph"/>
        <w:numPr>
          <w:ilvl w:val="0"/>
          <w:numId w:val="8"/>
        </w:numPr>
        <w:rPr>
          <w:sz w:val="22"/>
          <w:szCs w:val="22"/>
          <w:lang w:val="en-CA"/>
        </w:rPr>
      </w:pPr>
      <w:r w:rsidRPr="007E172A">
        <w:rPr>
          <w:sz w:val="22"/>
          <w:szCs w:val="22"/>
          <w:lang w:val="en-CA"/>
        </w:rPr>
        <w:t>After the bingo activity, participants were divided into groups to discuss questions about group work benefits, with the first group completing discussions on question one which focused on how group work creates democratic and relaxed environments that foster problem-solving and allow introverts to participate more fully.</w:t>
      </w:r>
    </w:p>
    <w:p w14:paraId="20902773" w14:textId="77777777" w:rsidR="00AD5B43" w:rsidRPr="007E172A" w:rsidRDefault="00AD5B43" w:rsidP="00205115">
      <w:pPr>
        <w:rPr>
          <w:sz w:val="22"/>
          <w:szCs w:val="22"/>
          <w:lang w:val="en-CA"/>
        </w:rPr>
      </w:pPr>
    </w:p>
    <w:p w14:paraId="3DCA633E" w14:textId="77777777" w:rsidR="00205115" w:rsidRPr="007E172A" w:rsidRDefault="00205115" w:rsidP="00205115">
      <w:pPr>
        <w:rPr>
          <w:b/>
          <w:bCs/>
          <w:sz w:val="22"/>
          <w:szCs w:val="22"/>
          <w:lang w:val="en-CA"/>
        </w:rPr>
      </w:pPr>
      <w:r w:rsidRPr="007E172A">
        <w:rPr>
          <w:b/>
          <w:bCs/>
          <w:sz w:val="22"/>
          <w:szCs w:val="22"/>
          <w:lang w:val="en-CA"/>
        </w:rPr>
        <w:t>Safe Learning Environments Discussion</w:t>
      </w:r>
    </w:p>
    <w:p w14:paraId="5BF4744F" w14:textId="77777777" w:rsidR="00AD5B43" w:rsidRPr="007E172A" w:rsidRDefault="00AD5B43" w:rsidP="007E172A">
      <w:pPr>
        <w:pStyle w:val="ListParagraph"/>
        <w:numPr>
          <w:ilvl w:val="0"/>
          <w:numId w:val="9"/>
        </w:numPr>
        <w:rPr>
          <w:sz w:val="22"/>
          <w:szCs w:val="22"/>
          <w:lang w:val="en-CA"/>
        </w:rPr>
      </w:pPr>
      <w:r w:rsidRPr="007E172A">
        <w:rPr>
          <w:sz w:val="22"/>
          <w:szCs w:val="22"/>
        </w:rPr>
        <w:t>Marika / Matthieu / Patrice</w:t>
      </w:r>
      <w:r w:rsidR="00205115" w:rsidRPr="007E172A">
        <w:rPr>
          <w:sz w:val="22"/>
          <w:szCs w:val="22"/>
          <w:lang w:val="en-CA"/>
        </w:rPr>
        <w:t xml:space="preserve"> led a discussion on creating safe learning environments and presented a video explaining how to cultivate effective small group learning spaces. </w:t>
      </w:r>
    </w:p>
    <w:p w14:paraId="5678FC0B" w14:textId="77777777" w:rsidR="00AD5B43" w:rsidRPr="007E172A" w:rsidRDefault="00AD5B43" w:rsidP="00205115">
      <w:pPr>
        <w:rPr>
          <w:sz w:val="22"/>
          <w:szCs w:val="22"/>
          <w:lang w:val="en-CA"/>
        </w:rPr>
      </w:pPr>
    </w:p>
    <w:p w14:paraId="396B17F5" w14:textId="77777777" w:rsidR="00155F66" w:rsidRPr="007E172A" w:rsidRDefault="00155F66">
      <w:pPr>
        <w:rPr>
          <w:sz w:val="22"/>
          <w:szCs w:val="22"/>
        </w:rPr>
      </w:pPr>
    </w:p>
    <w:sectPr w:rsidR="00155F66" w:rsidRPr="007E17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753AC8"/>
    <w:multiLevelType w:val="hybridMultilevel"/>
    <w:tmpl w:val="DDC08A4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67494"/>
    <w:multiLevelType w:val="multilevel"/>
    <w:tmpl w:val="4762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B12F0"/>
    <w:multiLevelType w:val="hybridMultilevel"/>
    <w:tmpl w:val="6556FC5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E0C5A"/>
    <w:multiLevelType w:val="hybridMultilevel"/>
    <w:tmpl w:val="F944321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33FDB"/>
    <w:multiLevelType w:val="hybridMultilevel"/>
    <w:tmpl w:val="F6EA1B9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A1122"/>
    <w:multiLevelType w:val="multilevel"/>
    <w:tmpl w:val="D93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22DF0"/>
    <w:multiLevelType w:val="hybridMultilevel"/>
    <w:tmpl w:val="B43AB7C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66F46"/>
    <w:multiLevelType w:val="hybridMultilevel"/>
    <w:tmpl w:val="335E01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012BF"/>
    <w:multiLevelType w:val="hybridMultilevel"/>
    <w:tmpl w:val="A7BEAE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224228">
    <w:abstractNumId w:val="5"/>
  </w:num>
  <w:num w:numId="2" w16cid:durableId="878667357">
    <w:abstractNumId w:val="1"/>
  </w:num>
  <w:num w:numId="3" w16cid:durableId="1191265915">
    <w:abstractNumId w:val="2"/>
  </w:num>
  <w:num w:numId="4" w16cid:durableId="1471900952">
    <w:abstractNumId w:val="6"/>
  </w:num>
  <w:num w:numId="5" w16cid:durableId="842596607">
    <w:abstractNumId w:val="7"/>
  </w:num>
  <w:num w:numId="6" w16cid:durableId="985670303">
    <w:abstractNumId w:val="4"/>
  </w:num>
  <w:num w:numId="7" w16cid:durableId="500895650">
    <w:abstractNumId w:val="8"/>
  </w:num>
  <w:num w:numId="8" w16cid:durableId="1174146266">
    <w:abstractNumId w:val="0"/>
  </w:num>
  <w:num w:numId="9" w16cid:durableId="550580451">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15"/>
    <w:rsid w:val="00155F66"/>
    <w:rsid w:val="00176E2E"/>
    <w:rsid w:val="00205115"/>
    <w:rsid w:val="00321566"/>
    <w:rsid w:val="003710B3"/>
    <w:rsid w:val="00397D78"/>
    <w:rsid w:val="003C10FB"/>
    <w:rsid w:val="00414078"/>
    <w:rsid w:val="00664BFF"/>
    <w:rsid w:val="006B6644"/>
    <w:rsid w:val="00793997"/>
    <w:rsid w:val="007E172A"/>
    <w:rsid w:val="00860C35"/>
    <w:rsid w:val="00862A8B"/>
    <w:rsid w:val="00897EDB"/>
    <w:rsid w:val="008A27F5"/>
    <w:rsid w:val="00966CCF"/>
    <w:rsid w:val="009716F6"/>
    <w:rsid w:val="00975E9A"/>
    <w:rsid w:val="00AD5B43"/>
    <w:rsid w:val="00C22AF8"/>
    <w:rsid w:val="00C36117"/>
    <w:rsid w:val="00C4799B"/>
    <w:rsid w:val="00CD071F"/>
    <w:rsid w:val="00D00DA6"/>
    <w:rsid w:val="00D71800"/>
    <w:rsid w:val="00D95E54"/>
    <w:rsid w:val="00DD2497"/>
    <w:rsid w:val="00E125B2"/>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AE8AAC"/>
  <w15:chartTrackingRefBased/>
  <w15:docId w15:val="{778141F6-3030-6C45-93A9-4EF23359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0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51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1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51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51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51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51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51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1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20511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205115"/>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05115"/>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05115"/>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205115"/>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05115"/>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05115"/>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05115"/>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0511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05115"/>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2051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115"/>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05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115"/>
    <w:rPr>
      <w:i/>
      <w:iCs/>
      <w:color w:val="404040" w:themeColor="text1" w:themeTint="BF"/>
      <w:lang w:val="en-GB"/>
    </w:rPr>
  </w:style>
  <w:style w:type="paragraph" w:styleId="ListParagraph">
    <w:name w:val="List Paragraph"/>
    <w:basedOn w:val="Normal"/>
    <w:uiPriority w:val="34"/>
    <w:qFormat/>
    <w:rsid w:val="00205115"/>
    <w:pPr>
      <w:ind w:left="720"/>
      <w:contextualSpacing/>
    </w:pPr>
  </w:style>
  <w:style w:type="character" w:styleId="IntenseEmphasis">
    <w:name w:val="Intense Emphasis"/>
    <w:basedOn w:val="DefaultParagraphFont"/>
    <w:uiPriority w:val="21"/>
    <w:qFormat/>
    <w:rsid w:val="00205115"/>
    <w:rPr>
      <w:i/>
      <w:iCs/>
      <w:color w:val="0F4761" w:themeColor="accent1" w:themeShade="BF"/>
    </w:rPr>
  </w:style>
  <w:style w:type="paragraph" w:styleId="IntenseQuote">
    <w:name w:val="Intense Quote"/>
    <w:basedOn w:val="Normal"/>
    <w:next w:val="Normal"/>
    <w:link w:val="IntenseQuoteChar"/>
    <w:uiPriority w:val="30"/>
    <w:qFormat/>
    <w:rsid w:val="0020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115"/>
    <w:rPr>
      <w:i/>
      <w:iCs/>
      <w:color w:val="0F4761" w:themeColor="accent1" w:themeShade="BF"/>
      <w:lang w:val="en-GB"/>
    </w:rPr>
  </w:style>
  <w:style w:type="character" w:styleId="IntenseReference">
    <w:name w:val="Intense Reference"/>
    <w:basedOn w:val="DefaultParagraphFont"/>
    <w:uiPriority w:val="32"/>
    <w:qFormat/>
    <w:rsid w:val="00205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4887</Characters>
  <Application>Microsoft Office Word</Application>
  <DocSecurity>0</DocSecurity>
  <Lines>85</Lines>
  <Paragraphs>19</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2026-06-27T11:06:00Z</dcterms:created>
  <dcterms:modified xsi:type="dcterms:W3CDTF">2026-06-27T11:06:00Z</dcterms:modified>
</cp:coreProperties>
</file>